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page" w:leftFromText="180" w:rightFromText="180" w:tblpX="739" w:tblpY="1947"/>
        <w:tblW w:w="10998"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710"/>
        <w:gridCol w:w="1553"/>
        <w:gridCol w:w="1410"/>
        <w:gridCol w:w="1357"/>
        <w:gridCol w:w="1733"/>
        <w:gridCol w:w="1417"/>
        <w:gridCol w:w="1818"/>
      </w:tblGrid>
      <w:tr>
        <w:trPr>
          <w:trHeight w:val="396" w:hRule="atLeast"/>
        </w:trPr>
        <w:tc>
          <w:tcPr>
            <w:tcW w:w="1099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napToGrid w:val="false"/>
              <w:jc w:val="center"/>
              <w:rPr>
                <w:rFonts w:ascii="Arial" w:hAnsi="Arial" w:cs="Arial"/>
                <w:b/>
                <w:sz w:val="28"/>
                <w:szCs w:val="28"/>
              </w:rPr>
            </w:pPr>
            <w:r>
              <w:rPr>
                <w:rFonts w:cs="Arial" w:ascii="Arial" w:hAnsi="Arial"/>
                <w:b/>
                <w:sz w:val="28"/>
                <w:szCs w:val="28"/>
              </w:rPr>
              <w:t>Fraud Investigation Report</w:t>
            </w:r>
          </w:p>
        </w:tc>
      </w:tr>
      <w:tr>
        <w:trPr>
          <w:trHeight w:val="246" w:hRule="atLeast"/>
        </w:trPr>
        <w:tc>
          <w:tcPr>
            <w:tcW w:w="1099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Details:</w:t>
            </w:r>
          </w:p>
        </w:tc>
      </w:tr>
      <w:tr>
        <w:trPr>
          <w:trHeight w:val="323"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Code</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Name</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Area</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Region</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State</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Zone</w:t>
            </w:r>
          </w:p>
        </w:tc>
      </w:tr>
      <w:tr>
        <w:trPr>
          <w:trHeight w:val="170"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OR1616</w:t>
            </w:r>
          </w:p>
        </w:tc>
        <w:tc>
          <w:tcPr>
            <w:tcW w:w="1553"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Mangalpur</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Jajpur Town</w:t>
            </w:r>
          </w:p>
        </w:tc>
        <w:tc>
          <w:tcPr>
            <w:tcW w:w="1357"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Bhadrak</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Bhadrak</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Odisha</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East</w:t>
            </w:r>
          </w:p>
        </w:tc>
      </w:tr>
      <w:tr>
        <w:trPr>
          <w:trHeight w:val="719"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Manager Name/ID</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Quality Manager Name/ID</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 Manager Name/ID</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AVP Name/ID</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VP Name/ID</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SVP Name/ID</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CBO Name/ID</w:t>
            </w:r>
          </w:p>
        </w:tc>
      </w:tr>
      <w:tr>
        <w:trPr>
          <w:trHeight w:val="271" w:hRule="atLeast"/>
        </w:trPr>
        <w:tc>
          <w:tcPr>
            <w:tcW w:w="1710"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Bhagirath Das/           SF0059786</w:t>
            </w:r>
          </w:p>
        </w:tc>
        <w:tc>
          <w:tcPr>
            <w:tcW w:w="1553" w:type="dxa"/>
            <w:tcBorders>
              <w:top w:val="single" w:sz="4" w:space="0" w:color="000000"/>
              <w:start w:val="single" w:sz="4" w:space="0" w:color="000000"/>
              <w:bottom w:val="single" w:sz="4" w:space="0" w:color="000000"/>
            </w:tcBorders>
            <w:shd w:color="auto" w:fill="auto" w:val="clear"/>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Himansu Maishal/ SF0069838</w:t>
            </w:r>
          </w:p>
        </w:tc>
        <w:tc>
          <w:tcPr>
            <w:tcW w:w="1410" w:type="dxa"/>
            <w:tcBorders>
              <w:top w:val="single" w:sz="4" w:space="0" w:color="000000"/>
              <w:start w:val="single" w:sz="4" w:space="0" w:color="000000"/>
              <w:bottom w:val="single" w:sz="4" w:space="0" w:color="000000"/>
            </w:tcBorders>
            <w:shd w:color="auto" w:fill="auto" w:val="clear"/>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Biranchi Narayan Swain/SF0003954</w:t>
            </w:r>
          </w:p>
        </w:tc>
        <w:tc>
          <w:tcPr>
            <w:tcW w:w="1357"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Krushna Chandra Sahoo/SF0083225</w:t>
            </w:r>
          </w:p>
        </w:tc>
        <w:tc>
          <w:tcPr>
            <w:tcW w:w="17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Alok Kumar Maharana/SF0083414</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Sanjaya Kumar Sahoo/SF0070624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Shriraj Vedsen/SF0071741</w:t>
            </w:r>
          </w:p>
        </w:tc>
      </w:tr>
      <w:tr>
        <w:trPr>
          <w:trHeight w:val="350" w:hRule="atLeast"/>
        </w:trPr>
        <w:tc>
          <w:tcPr>
            <w:tcW w:w="3263" w:type="dxa"/>
            <w:gridSpan w:val="2"/>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 of Information Received</w:t>
            </w:r>
          </w:p>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0"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03/10/2025</w:t>
            </w:r>
          </w:p>
        </w:tc>
        <w:tc>
          <w:tcPr>
            <w:tcW w:w="3090"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Date of event/transactions occurred (From-To) (</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15-10-2025</w:t>
            </w:r>
          </w:p>
        </w:tc>
        <w:tc>
          <w:tcPr>
            <w:tcW w:w="181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17-10-2025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W w:w="10946" w:type="dxa"/>
        <w:jc w:val="start"/>
        <w:tblInd w:w="-1062" w:type="dxa"/>
        <w:tblLayout w:type="fixed"/>
        <w:tblCellMar>
          <w:top w:w="0" w:type="dxa"/>
          <w:start w:w="108" w:type="dxa"/>
          <w:bottom w:w="0" w:type="dxa"/>
          <w:end w:w="108" w:type="dxa"/>
        </w:tblCellMar>
        <w:tblLook w:firstRow="1" w:noVBand="1" w:lastRow="0" w:firstColumn="1" w:lastColumn="0" w:noHBand="0" w:val="04a0"/>
      </w:tblPr>
      <w:tblGrid>
        <w:gridCol w:w="4866"/>
        <w:gridCol w:w="6080"/>
      </w:tblGrid>
      <w:tr>
        <w:trPr>
          <w:trHeight w:val="48"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Type of Incident (Fraud/Robbery/Theft)</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Fraud</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 or External</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 of staff/persons involved: Fraud/Robbery/Theft</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w:t>
            </w:r>
          </w:p>
        </w:tc>
      </w:tr>
      <w:tr>
        <w:trPr>
          <w:trHeight w:val="190"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Total Amount Involved (Rs.)</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149128/-</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Describe how the incident has been exposed/identified:</w:t>
            </w:r>
          </w:p>
        </w:tc>
      </w:tr>
      <w:tr>
        <w:trPr>
          <w:trHeight w:val="627"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sz w:val="20"/>
                <w:szCs w:val="20"/>
              </w:rPr>
              <w:t xml:space="preserve">At that time of Center Visit on Mangalpur (OR1616) Branch by BM Bhagirath Das/SF0059786 visited Center 343111 and observed that Lo Saroj Kumar Mallick/SF0075955 had collected 2 EMI from borrower Sanjukta Jena </w:t>
            </w:r>
            <w:r>
              <w:rPr>
                <w:rFonts w:cs="Calibri" w:ascii="Calibri" w:hAnsi="Calibri" w:asciiTheme="minorHAnsi" w:cstheme="minorHAnsi" w:hAnsiTheme="minorHAnsi"/>
                <w:b/>
                <w:bCs/>
                <w:sz w:val="20"/>
                <w:szCs w:val="20"/>
              </w:rPr>
              <w:t xml:space="preserve">Rs.5420/- </w:t>
            </w:r>
            <w:r>
              <w:rPr>
                <w:rFonts w:cs="Calibri" w:ascii="Calibri" w:hAnsi="Calibri" w:asciiTheme="minorHAnsi" w:cstheme="minorHAnsi" w:hAnsiTheme="minorHAnsi"/>
                <w:sz w:val="20"/>
                <w:szCs w:val="20"/>
              </w:rPr>
              <w:t>but that amount not inputted in FIMO. The borrower provided Loan card as evidence. As per the above Collection misappropriation, the complaint was lodged on 03</w:t>
            </w:r>
            <w:r>
              <w:rPr>
                <w:rFonts w:cs="Calibri" w:ascii="Calibri" w:hAnsi="Calibri" w:asciiTheme="minorHAnsi" w:cstheme="minorHAnsi" w:hAnsiTheme="minorHAnsi"/>
                <w:sz w:val="20"/>
                <w:szCs w:val="20"/>
                <w:vertAlign w:val="superscript"/>
              </w:rPr>
              <w:t>rd</w:t>
            </w:r>
            <w:r>
              <w:rPr>
                <w:rFonts w:cs="Calibri" w:ascii="Calibri" w:hAnsi="Calibri" w:asciiTheme="minorHAnsi" w:cstheme="minorHAnsi" w:hAnsiTheme="minorHAnsi"/>
                <w:sz w:val="20"/>
                <w:szCs w:val="20"/>
              </w:rPr>
              <w:t xml:space="preserve"> Oct 2025, vide complaint Number </w:t>
            </w:r>
            <w:r>
              <w:rPr>
                <w:rFonts w:cs="Calibri" w:ascii="Calibri" w:hAnsi="Calibri" w:asciiTheme="minorHAnsi" w:cstheme="minorHAnsi" w:hAnsiTheme="minorHAnsi"/>
                <w:b/>
                <w:bCs/>
                <w:sz w:val="20"/>
                <w:szCs w:val="20"/>
              </w:rPr>
              <w:t>FN25-26-0244</w:t>
            </w:r>
            <w:r>
              <w:rPr>
                <w:rFonts w:cs="Calibri" w:ascii="Calibri" w:hAnsi="Calibri" w:asciiTheme="minorHAnsi" w:cstheme="minorHAnsi" w:hAnsiTheme="minorHAnsi"/>
                <w:b/>
                <w:bCs/>
                <w:sz w:val="20"/>
                <w:szCs w:val="20"/>
              </w:rPr>
              <w:t>3</w:t>
            </w:r>
            <w:r>
              <w:rPr>
                <w:rFonts w:cs="Calibri" w:ascii="Calibri" w:hAnsi="Calibri" w:asciiTheme="minorHAnsi" w:cstheme="minorHAnsi" w:hAnsiTheme="minorHAnsi"/>
                <w:b/>
                <w:bCs/>
                <w:sz w:val="20"/>
                <w:szCs w:val="20"/>
              </w:rPr>
              <w:t xml:space="preserve">. </w:t>
            </w:r>
          </w:p>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sz w:val="20"/>
                <w:szCs w:val="20"/>
              </w:rPr>
              <w:t xml:space="preserve">But </w:t>
            </w:r>
            <w:r>
              <w:rPr>
                <w:rFonts w:cs="Calibri" w:ascii="Calibri" w:hAnsi="Calibri" w:asciiTheme="minorHAnsi" w:cstheme="minorHAnsi" w:hAnsiTheme="minorHAnsi"/>
                <w:sz w:val="20"/>
                <w:szCs w:val="20"/>
                <w:lang w:val="en-IN"/>
              </w:rPr>
              <w:t>after i went to verify with the borrower, I found out that the borrower had actually paid the money. However, the signature did not match with Saroj Kumar Mallick’s signature. According to HR data, Saroj was transferred from that branch on 12-11-2024. Because of that, I couldn’t classify this case as fraud.</w:t>
            </w:r>
          </w:p>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But I did find fraud in the case of another borrower, in which Loan Officer Saroj Kumar Mallick was involved. So I added this fraud under the same complaint number.</w:t>
            </w:r>
          </w:p>
          <w:p>
            <w:pPr>
              <w:pStyle w:val="Normal"/>
              <w:jc w:val="both"/>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lang w:eastAsia="en-US"/>
              </w:rPr>
              <w:t xml:space="preserve">Now LO </w:t>
            </w:r>
            <w:r>
              <w:rPr>
                <w:rFonts w:cs="Calibri" w:ascii="Calibri" w:hAnsi="Calibri" w:asciiTheme="minorHAnsi" w:cstheme="minorHAnsi" w:hAnsiTheme="minorHAnsi"/>
                <w:sz w:val="20"/>
                <w:szCs w:val="20"/>
              </w:rPr>
              <w:t>Saroj Kumar Mallick/SF0075955 is Terminate as per HR records.</w:t>
            </w:r>
          </w:p>
          <w:p>
            <w:pPr>
              <w:pStyle w:val="Normal"/>
              <w:jc w:val="both"/>
              <w:rPr>
                <w:rFonts w:ascii="Calibri" w:hAnsi="Calibri" w:cs="Calibri" w:asciiTheme="minorHAnsi" w:cstheme="minorHAnsi" w:hAnsiTheme="minorHAnsi"/>
                <w:b/>
                <w:bCs/>
                <w:color w:val="000000"/>
                <w:sz w:val="20"/>
                <w:szCs w:val="20"/>
                <w:lang w:eastAsia="en-US"/>
              </w:rPr>
            </w:pPr>
            <w:r>
              <w:rPr>
                <w:rFonts w:cs="Calibri" w:ascii="Calibri" w:hAnsi="Calibri" w:asciiTheme="minorHAnsi" w:cstheme="minorHAnsi" w:hAnsiTheme="minorHAnsi"/>
                <w:sz w:val="20"/>
                <w:szCs w:val="20"/>
              </w:rPr>
              <w:t xml:space="preserve">Post completion of the investigation, we identified </w:t>
            </w:r>
            <w:r>
              <w:rPr>
                <w:rFonts w:cs="Calibri" w:ascii="Calibri" w:hAnsi="Calibri" w:asciiTheme="minorHAnsi" w:cstheme="minorHAnsi" w:hAnsiTheme="minorHAnsi"/>
                <w:b/>
                <w:bCs/>
                <w:sz w:val="20"/>
                <w:szCs w:val="20"/>
              </w:rPr>
              <w:t>Rs.</w:t>
            </w:r>
            <w:r>
              <w:rPr>
                <w:rFonts w:cs="Calibri" w:ascii="Calibri" w:hAnsi="Calibri" w:asciiTheme="minorHAnsi" w:cstheme="minorHAnsi" w:hAnsiTheme="minorHAnsi"/>
                <w:b/>
                <w:sz w:val="20"/>
                <w:szCs w:val="20"/>
              </w:rPr>
              <w:t xml:space="preserve"> 149128/-</w:t>
            </w:r>
            <w:r>
              <w:rPr>
                <w:rFonts w:cs="Calibri" w:ascii="Calibri" w:hAnsi="Calibri" w:asciiTheme="minorHAnsi" w:cstheme="minorHAnsi" w:hAnsiTheme="minorHAnsi"/>
                <w:sz w:val="20"/>
                <w:szCs w:val="20"/>
              </w:rPr>
              <w:t xml:space="preserve"> amount of cash misappropriation on 5 nos of borrowers against </w:t>
            </w:r>
            <w:r>
              <w:rPr>
                <w:rFonts w:cs="Calibri" w:ascii="Calibri" w:hAnsi="Calibri" w:asciiTheme="minorHAnsi" w:cstheme="minorHAnsi" w:hAnsiTheme="minorHAnsi"/>
                <w:color w:val="000000"/>
                <w:sz w:val="20"/>
                <w:szCs w:val="20"/>
                <w:lang w:eastAsia="en-US"/>
              </w:rPr>
              <w:t xml:space="preserve">LO </w:t>
            </w:r>
            <w:r>
              <w:rPr>
                <w:rFonts w:cs="Calibri" w:ascii="Calibri" w:hAnsi="Calibri" w:asciiTheme="minorHAnsi" w:cstheme="minorHAnsi" w:hAnsiTheme="minorHAnsi"/>
                <w:sz w:val="20"/>
                <w:szCs w:val="20"/>
              </w:rPr>
              <w:t>Saroj Kumar Mallick/SF0075955.</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Brief Details of the incident:</w:t>
            </w:r>
          </w:p>
        </w:tc>
      </w:tr>
      <w:tr>
        <w:trPr>
          <w:trHeight w:val="1367"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Investigation Approach:</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The Audit team visited these Affected Borrower find by Branch team, those handled by Saroj Kumar Mallick, to check the availability of the borrower, and the amount collected was not accounted for.</w:t>
            </w:r>
          </w:p>
          <w:p>
            <w:pPr>
              <w:pStyle w:val="Normal"/>
              <w:suppressAutoHyphens w:val="false"/>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Modus Operandi:</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Loan Officer Saroj Kumar Mallick employee ID SF0075955, made a cash misappropriation with an amount of </w:t>
            </w:r>
            <w:r>
              <w:rPr>
                <w:rFonts w:cs="Calibri" w:ascii="Calibri" w:hAnsi="Calibri" w:asciiTheme="minorHAnsi" w:cstheme="minorHAnsi" w:hAnsiTheme="minorHAnsi"/>
                <w:b/>
                <w:bCs/>
                <w:color w:val="000000"/>
                <w:sz w:val="20"/>
                <w:szCs w:val="20"/>
                <w:u w:val="single"/>
                <w:lang w:eastAsia="en-US"/>
              </w:rPr>
              <w:t>Rs-149128/-</w:t>
            </w:r>
            <w:r>
              <w:rPr>
                <w:rFonts w:cs="Calibri" w:ascii="Calibri" w:hAnsi="Calibri" w:asciiTheme="minorHAnsi" w:cstheme="minorHAnsi" w:hAnsiTheme="minorHAnsi"/>
                <w:color w:val="000000"/>
                <w:sz w:val="20"/>
                <w:szCs w:val="20"/>
                <w:lang w:eastAsia="en-US"/>
              </w:rPr>
              <w:t xml:space="preserve"> for 5 borrowers.</w:t>
            </w:r>
          </w:p>
          <w:p>
            <w:pPr>
              <w:pStyle w:val="Normal"/>
              <w:suppressAutoHyphens w:val="false"/>
              <w:ind w:start="360"/>
              <w:rPr>
                <w:rFonts w:ascii="Calibri" w:hAnsi="Calibri" w:cs="Calibri" w:asciiTheme="minorHAnsi" w:cstheme="minorHAnsi" w:hAnsiTheme="minorHAnsi"/>
                <w:b/>
                <w:bCs/>
                <w:color w:val="000000"/>
                <w:sz w:val="20"/>
                <w:szCs w:val="20"/>
              </w:rPr>
            </w:pPr>
            <w:r>
              <w:rPr>
                <w:rFonts w:cs="Calibri" w:ascii="Calibri" w:hAnsi="Calibri" w:asciiTheme="minorHAnsi" w:cstheme="minorHAnsi" w:hAnsiTheme="minorHAnsi"/>
                <w:color w:val="000000"/>
                <w:sz w:val="20"/>
                <w:szCs w:val="20"/>
                <w:lang w:eastAsia="en-US"/>
              </w:rPr>
              <w:t xml:space="preserve">• </w:t>
            </w:r>
            <w:r>
              <w:rPr>
                <w:rFonts w:cs="Calibri" w:ascii="Calibri" w:hAnsi="Calibri" w:asciiTheme="minorHAnsi" w:cstheme="minorHAnsi" w:hAnsiTheme="minorHAnsi"/>
                <w:color w:val="000000"/>
                <w:sz w:val="20"/>
                <w:szCs w:val="20"/>
                <w:lang w:eastAsia="en-US"/>
              </w:rPr>
              <w:t>The internal audit team investigated by visited all 6 borrowers handed by LO.</w:t>
              <w:br/>
              <w:t xml:space="preserve">• Post Verification, it was observed that a total of 6 Borrowers Were Present. Observed fraud for 5nos borrowers of                  </w:t>
            </w:r>
            <w:r>
              <w:rPr>
                <w:rFonts w:cs="Calibri" w:ascii="Calibri" w:hAnsi="Calibri" w:asciiTheme="minorHAnsi" w:cstheme="minorHAnsi" w:hAnsiTheme="minorHAnsi"/>
                <w:b/>
                <w:bCs/>
                <w:color w:val="000000"/>
                <w:sz w:val="20"/>
                <w:szCs w:val="20"/>
                <w:u w:val="single"/>
                <w:lang w:eastAsia="en-US"/>
              </w:rPr>
              <w:t>Rs 149128/-</w:t>
            </w:r>
            <w:r>
              <w:rPr>
                <w:rFonts w:cs="Calibri" w:ascii="Calibri" w:hAnsi="Calibri" w:asciiTheme="minorHAnsi" w:cstheme="minorHAnsi" w:hAnsiTheme="minorHAnsi"/>
                <w:color w:val="000000"/>
                <w:sz w:val="20"/>
                <w:szCs w:val="20"/>
                <w:lang w:eastAsia="en-US"/>
              </w:rPr>
              <w:t>. Rs-44820</w:t>
            </w:r>
            <w:r>
              <w:rPr>
                <w:rFonts w:cs="Calibri" w:ascii="Calibri" w:hAnsi="Calibri" w:asciiTheme="minorHAnsi" w:cstheme="minorHAnsi" w:hAnsiTheme="minorHAnsi"/>
                <w:b/>
                <w:bCs/>
                <w:color w:val="000000"/>
                <w:sz w:val="20"/>
                <w:szCs w:val="20"/>
              </w:rPr>
              <w:t>/-</w:t>
            </w:r>
            <w:r>
              <w:rPr>
                <w:rFonts w:cs="Calibri" w:ascii="Calibri" w:hAnsi="Calibri" w:asciiTheme="minorHAnsi" w:cstheme="minorHAnsi" w:hAnsiTheme="minorHAnsi"/>
                <w:color w:val="000000"/>
                <w:sz w:val="20"/>
                <w:szCs w:val="20"/>
              </w:rPr>
              <w:t xml:space="preserve"> Recovered and Accounted in FIMO. So Net Fraud Amount Rs-</w:t>
            </w:r>
            <w:r>
              <w:rPr>
                <w:rFonts w:cs="Calibri" w:ascii="Calibri" w:hAnsi="Calibri" w:asciiTheme="minorHAnsi" w:cstheme="minorHAnsi" w:hAnsiTheme="minorHAnsi"/>
                <w:b/>
                <w:bCs/>
                <w:color w:val="000000"/>
                <w:sz w:val="20"/>
                <w:szCs w:val="20"/>
                <w:u w:val="single"/>
              </w:rPr>
              <w:t>104308</w:t>
            </w:r>
            <w:r>
              <w:rPr>
                <w:rFonts w:cs="Calibri" w:ascii="Calibri" w:hAnsi="Calibri" w:asciiTheme="minorHAnsi" w:cstheme="minorHAnsi" w:hAnsiTheme="minorHAnsi"/>
                <w:b/>
                <w:bCs/>
                <w:color w:val="000000"/>
                <w:sz w:val="20"/>
                <w:szCs w:val="20"/>
              </w:rPr>
              <w:t>/-.</w:t>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Categories of Fraud Details: -</w:t>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tbl>
            <w:tblPr>
              <w:tblStyle w:val="TableGrid"/>
              <w:tblpPr w:vertAnchor="page" w:horzAnchor="margin" w:leftFromText="180" w:rightFromText="180" w:tblpX="5" w:tblpY="2731"/>
              <w:tblOverlap w:val="never"/>
              <w:tblW w:w="1064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02"/>
              <w:gridCol w:w="3123"/>
              <w:gridCol w:w="1513"/>
              <w:gridCol w:w="1502"/>
              <w:gridCol w:w="1904"/>
              <w:gridCol w:w="1905"/>
            </w:tblGrid>
            <w:tr>
              <w:trPr>
                <w:trHeight w:val="233" w:hRule="atLeast"/>
              </w:trPr>
              <w:tc>
                <w:tcPr>
                  <w:tcW w:w="7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Sl. No</w:t>
                  </w:r>
                </w:p>
              </w:tc>
              <w:tc>
                <w:tcPr>
                  <w:tcW w:w="312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Type of Fraud</w:t>
                  </w:r>
                </w:p>
              </w:tc>
              <w:tc>
                <w:tcPr>
                  <w:tcW w:w="151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Affected Borrowers</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Fraud Amount</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Recovery Amount</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Net Fraud Amount</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Collection Misappropriation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2240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2240</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Pre-Closure Misappropriation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106888</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28680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78208</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Disbursed Amount Recollected</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40000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16140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23860</w:t>
                  </w:r>
                </w:p>
              </w:tc>
            </w:tr>
            <w:tr>
              <w:trPr>
                <w:trHeight w:val="233" w:hRule="atLeast"/>
              </w:trPr>
              <w:tc>
                <w:tcPr>
                  <w:tcW w:w="3825" w:type="dxa"/>
                  <w:gridSpan w:val="2"/>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 xml:space="preserve">        </w:t>
                  </w:r>
                  <w:r>
                    <w:rPr>
                      <w:rFonts w:eastAsia="Times New Roman" w:cs="Calibri" w:ascii="Calibri" w:hAnsi="Calibri" w:asciiTheme="minorHAnsi" w:cstheme="minorHAnsi" w:hAnsiTheme="minorHAnsi"/>
                      <w:b/>
                      <w:bCs/>
                      <w:kern w:val="0"/>
                      <w:sz w:val="20"/>
                      <w:szCs w:val="20"/>
                      <w:lang w:val="en-US" w:bidi="ar-SA"/>
                    </w:rPr>
                    <w:t>Total</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5</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149128</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44820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104308</w:t>
                  </w:r>
                </w:p>
              </w:tc>
            </w:tr>
          </w:tbl>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t>Details of Process &amp; Policy Lapses:</w:t>
            </w:r>
          </w:p>
          <w:p>
            <w:pPr>
              <w:pStyle w:val="ListParagraph"/>
              <w:widowControl w:val="false"/>
              <w:numPr>
                <w:ilvl w:val="0"/>
                <w:numId w:val="1"/>
              </w:numPr>
              <w:rPr>
                <w:rFonts w:cs="Calibri" w:cstheme="minorHAnsi"/>
                <w:sz w:val="20"/>
                <w:szCs w:val="20"/>
              </w:rPr>
            </w:pPr>
            <w:r>
              <w:rPr>
                <w:rFonts w:cs="Calibri" w:cstheme="minorHAnsi"/>
                <w:sz w:val="20"/>
                <w:szCs w:val="20"/>
              </w:rPr>
              <w:t>Monitoring failure.</w:t>
            </w:r>
          </w:p>
          <w:p>
            <w:pPr>
              <w:pStyle w:val="ListParagraph"/>
              <w:widowControl w:val="false"/>
              <w:numPr>
                <w:ilvl w:val="0"/>
                <w:numId w:val="1"/>
              </w:numPr>
              <w:rPr>
                <w:rFonts w:cs="Calibri" w:cstheme="minorHAnsi"/>
                <w:sz w:val="20"/>
                <w:szCs w:val="20"/>
              </w:rPr>
            </w:pPr>
            <w:r>
              <w:rPr>
                <w:rFonts w:cs="Calibri" w:cstheme="minorHAnsi"/>
                <w:sz w:val="20"/>
                <w:szCs w:val="20"/>
              </w:rPr>
              <w:t>Violation of collection process.</w:t>
            </w:r>
          </w:p>
          <w:p>
            <w:pPr>
              <w:pStyle w:val="ListParagraph"/>
              <w:numPr>
                <w:ilvl w:val="0"/>
                <w:numId w:val="1"/>
              </w:numPr>
              <w:jc w:val="both"/>
              <w:rPr>
                <w:rFonts w:cs="Calibri" w:cstheme="minorHAnsi"/>
                <w:b/>
                <w:bCs/>
                <w:color w:val="000000"/>
                <w:sz w:val="20"/>
                <w:szCs w:val="20"/>
              </w:rPr>
            </w:pPr>
            <w:r>
              <w:rPr>
                <w:rFonts w:cs="Calibri" w:cstheme="minorHAnsi"/>
                <w:sz w:val="20"/>
                <w:szCs w:val="20"/>
              </w:rPr>
              <w:t>Proper follow up not done for standard pending customer.</w:t>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t>Details of the Enclosed Annexures, Documents &amp; Statements from staff/customers if any:</w:t>
            </w:r>
          </w:p>
          <w:p>
            <w:pPr>
              <w:pStyle w:val="Normal"/>
              <w:rPr>
                <w:rFonts w:cs="Calibri" w:cstheme="minorHAnsi"/>
                <w:bCs/>
                <w:sz w:val="20"/>
                <w:szCs w:val="20"/>
              </w:rPr>
            </w:pPr>
            <w:r>
              <w:rPr>
                <w:rFonts w:cs="Calibri" w:cstheme="minorHAnsi"/>
                <w:bCs/>
                <w:sz w:val="20"/>
                <w:szCs w:val="20"/>
              </w:rPr>
              <w:t>1. Borrower Sub-ledger.</w:t>
            </w:r>
          </w:p>
          <w:p>
            <w:pPr>
              <w:pStyle w:val="Normal"/>
              <w:jc w:val="both"/>
              <w:rPr>
                <w:rFonts w:cs="Calibri" w:cstheme="minorHAnsi"/>
                <w:bCs/>
                <w:sz w:val="20"/>
                <w:szCs w:val="20"/>
              </w:rPr>
            </w:pPr>
            <w:r>
              <w:rPr>
                <w:rFonts w:cs="Calibri" w:cstheme="minorHAnsi"/>
                <w:bCs/>
                <w:sz w:val="20"/>
                <w:szCs w:val="20"/>
              </w:rPr>
              <w:t>2. Digital Payment</w:t>
            </w:r>
          </w:p>
          <w:p>
            <w:pPr>
              <w:pStyle w:val="Normal"/>
              <w:jc w:val="both"/>
              <w:rPr>
                <w:rFonts w:cs="Calibri" w:cstheme="minorHAnsi"/>
                <w:bCs/>
                <w:sz w:val="20"/>
                <w:szCs w:val="20"/>
              </w:rPr>
            </w:pPr>
            <w:r>
              <w:rPr>
                <w:rFonts w:cs="Calibri" w:cstheme="minorHAnsi"/>
                <w:bCs/>
                <w:sz w:val="20"/>
                <w:szCs w:val="20"/>
              </w:rPr>
              <w:t>3. Loan Card</w:t>
            </w:r>
          </w:p>
          <w:p>
            <w:pPr>
              <w:pStyle w:val="Normal"/>
              <w:jc w:val="both"/>
              <w:rPr>
                <w:rFonts w:cs="Calibri" w:cstheme="minorHAnsi"/>
                <w:bCs/>
                <w:sz w:val="20"/>
                <w:szCs w:val="20"/>
              </w:rPr>
            </w:pPr>
            <w:r>
              <w:rPr>
                <w:rFonts w:cs="Calibri" w:cstheme="minorHAnsi"/>
                <w:bCs/>
                <w:sz w:val="20"/>
                <w:szCs w:val="20"/>
              </w:rPr>
              <w:t>4. Cash Receipt</w:t>
            </w:r>
          </w:p>
        </w:tc>
      </w:tr>
      <w:tr>
        <w:trPr>
          <w:trHeight w:val="154"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pPr w:vertAnchor="text" w:horzAnchor="page" w:leftFromText="180" w:rightFromText="180" w:tblpX="779" w:tblpY="-58"/>
        <w:tblW w:w="1091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917"/>
        <w:gridCol w:w="4905"/>
        <w:gridCol w:w="5092"/>
      </w:tblGrid>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Sl. NO.</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Checklist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Particulars</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Who exposed the event: Name/ID/Designation/Department/Centre to be mentioned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Web"/>
              <w:shd w:val="clear" w:color="auto" w:fill="FFFFFF"/>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Bhagirath Das/SF0059786/BM/Operation/343111</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Date of event exposed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vertAlign w:val="superscript"/>
              </w:rPr>
            </w:pPr>
            <w:r>
              <w:rPr>
                <w:rFonts w:cs="Calibri" w:ascii="Calibri" w:hAnsi="Calibri" w:asciiTheme="minorHAnsi" w:cstheme="minorHAnsi" w:hAnsiTheme="minorHAnsi"/>
                <w:sz w:val="20"/>
                <w:szCs w:val="20"/>
              </w:rPr>
              <w:t>03</w:t>
            </w:r>
            <w:r>
              <w:rPr>
                <w:rFonts w:cs="Calibri" w:ascii="Calibri" w:hAnsi="Calibri" w:asciiTheme="minorHAnsi" w:cstheme="minorHAnsi" w:hAnsiTheme="minorHAnsi"/>
                <w:sz w:val="20"/>
                <w:szCs w:val="20"/>
                <w:vertAlign w:val="superscript"/>
              </w:rPr>
              <w:t>rd</w:t>
            </w:r>
            <w:r>
              <w:rPr>
                <w:rFonts w:cs="Calibri" w:ascii="Calibri" w:hAnsi="Calibri" w:asciiTheme="minorHAnsi" w:cstheme="minorHAnsi" w:hAnsiTheme="minorHAnsi"/>
                <w:sz w:val="20"/>
                <w:szCs w:val="20"/>
              </w:rPr>
              <w:t xml:space="preserve"> Oct 2025</w:t>
            </w:r>
          </w:p>
        </w:tc>
      </w:tr>
      <w:tr>
        <w:trPr>
          <w:trHeight w:val="286"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Name/ID/Designation of the Fraudulent Staff</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Saroj Kumar Mallick/SF0075955 </w:t>
            </w:r>
            <w:r>
              <w:rPr>
                <w:rFonts w:cs="Calibri" w:ascii="Calibri" w:hAnsi="Calibri" w:asciiTheme="minorHAnsi" w:cstheme="minorHAnsi" w:hAnsiTheme="minorHAnsi"/>
                <w:color w:val="000000"/>
                <w:sz w:val="20"/>
                <w:szCs w:val="20"/>
                <w:lang w:eastAsia="en-US"/>
              </w:rPr>
              <w:t>/Loan Officer</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Whether it is in the notice of BM/BQM/CM/AVP/VP/SVP &amp; HR (Yes/No)</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mention the Action initiated by BM/BQM/CM/AVP/VP/SVP</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thefts/robberies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7</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staff frauds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35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8</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Is there any disciplinary action taken by HR in his/her past tenure?</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31"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9</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Whether an internal audit was conducted at the branch during the occurrence of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whether internal audit has detected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No, why the fraud was not detected/informed during such an audit?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Is there any investigation conducted &amp; reported after detection by other departments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Yes</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w:t>
            </w:r>
          </w:p>
        </w:tc>
        <w:tc>
          <w:tcPr>
            <w:tcW w:w="4905" w:type="dxa"/>
            <w:tcBorders>
              <w:top w:val="single" w:sz="4" w:space="0" w:color="000000"/>
              <w:start w:val="single" w:sz="4" w:space="0" w:color="000000"/>
              <w:bottom w:val="single" w:sz="4" w:space="0" w:color="000000"/>
            </w:tcBorders>
            <w:vAlign w:val="center"/>
          </w:tcPr>
          <w:p>
            <w:pPr>
              <w:pStyle w:val="Normal"/>
              <w:spacing w:lineRule="auto" w:line="276"/>
              <w:rPr>
                <w:rFonts w:ascii="Calibri" w:hAnsi="Calibri" w:eastAsia="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yes, mention the departments that conducted and reported.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Internal Audit</w:t>
            </w:r>
          </w:p>
        </w:tc>
      </w:tr>
    </w:tbl>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tbl>
      <w:tblPr>
        <w:tblW w:w="10838" w:type="dxa"/>
        <w:jc w:val="start"/>
        <w:tblInd w:w="-1062" w:type="dxa"/>
        <w:tblLayout w:type="fixed"/>
        <w:tblCellMar>
          <w:top w:w="0" w:type="dxa"/>
          <w:start w:w="108" w:type="dxa"/>
          <w:bottom w:w="0" w:type="dxa"/>
          <w:end w:w="108" w:type="dxa"/>
        </w:tblCellMar>
        <w:tblLook w:firstRow="0" w:noVBand="0" w:lastRow="0" w:firstColumn="0" w:lastColumn="0" w:noHBand="0" w:val="0000"/>
      </w:tblPr>
      <w:tblGrid>
        <w:gridCol w:w="885"/>
        <w:gridCol w:w="1448"/>
        <w:gridCol w:w="1418"/>
        <w:gridCol w:w="1984"/>
        <w:gridCol w:w="1700"/>
        <w:gridCol w:w="1702"/>
        <w:gridCol w:w="1701"/>
      </w:tblGrid>
      <w:tr>
        <w:trPr>
          <w:trHeight w:val="171" w:hRule="atLeast"/>
        </w:trPr>
        <w:tc>
          <w:tcPr>
            <w:tcW w:w="1083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ind w:start="-1080"/>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Details of involved staff</w:t>
            </w:r>
          </w:p>
        </w:tc>
      </w:tr>
      <w:tr>
        <w:trPr>
          <w:trHeight w:val="242"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Sr. No.</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Name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Employee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Designation</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SSFL</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Branch</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Exit</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r>
      <w:tr>
        <w:trPr>
          <w:trHeight w:val="261"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Saroj Kumar Mallick</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SF0075955</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Loan Officer</w:t>
            </w:r>
          </w:p>
        </w:tc>
        <w:tc>
          <w:tcPr>
            <w:tcW w:w="17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01-06-2021</w:t>
            </w:r>
          </w:p>
        </w:tc>
        <w:tc>
          <w:tcPr>
            <w:tcW w:w="17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01-06-2021</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12-11-2024</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ind w:start="-1260" w:end="209"/>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Note:</w:t>
      </w:r>
      <w:r>
        <w:rPr>
          <w:rFonts w:cs="Calibri" w:ascii="Calibri" w:hAnsi="Calibri" w:asciiTheme="minorHAnsi" w:cstheme="minorHAnsi" w:hAnsi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pPr>
        <w:pStyle w:val="ListParagraph"/>
        <w:ind w:start="-1260" w:end="209"/>
        <w:jc w:val="both"/>
        <w:rPr>
          <w:rFonts w:ascii="Calibri" w:hAnsi="Calibri" w:cs="Calibri" w:asciiTheme="minorHAnsi" w:cstheme="minorHAnsi" w:hAnsiTheme="minorHAnsi"/>
          <w:b/>
          <w:sz w:val="20"/>
          <w:szCs w:val="20"/>
        </w:rPr>
      </w:pPr>
      <w:r>
        <w:rPr>
          <w:rFonts w:cs="Calibri" w:cstheme="minorHAnsi"/>
          <w:b/>
          <w:sz w:val="20"/>
          <w:szCs w:val="20"/>
        </w:rPr>
      </w:r>
    </w:p>
    <w:p>
      <w:pPr>
        <w:pStyle w:val="ListParagraph"/>
        <w:ind w:start="-1260" w:end="209"/>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Report prepared by</w:t>
        <w:tab/>
        <w:t>: Internal Audit Team.</w:t>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w:t>
        <w:tab/>
        <w:tab/>
        <w:tab/>
        <w:t xml:space="preserve">: </w:t>
      </w:r>
      <w:r>
        <w:rPr>
          <w:rFonts w:cs="Calibri" w:ascii="Calibri" w:hAnsi="Calibri" w:asciiTheme="minorHAnsi" w:cstheme="minorHAnsi" w:hAnsiTheme="minorHAnsi"/>
          <w:b/>
          <w:sz w:val="20"/>
          <w:szCs w:val="20"/>
        </w:rPr>
        <w:t>11</w:t>
      </w:r>
      <w:r>
        <w:rPr>
          <w:rFonts w:cs="Calibri" w:ascii="Calibri" w:hAnsi="Calibri" w:asciiTheme="minorHAnsi" w:cstheme="minorHAnsi" w:hAnsiTheme="minorHAnsi"/>
          <w:b/>
          <w:sz w:val="20"/>
          <w:szCs w:val="20"/>
          <w:vertAlign w:val="superscript"/>
        </w:rPr>
        <w:t>th</w:t>
      </w: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b/>
          <w:sz w:val="20"/>
          <w:szCs w:val="20"/>
        </w:rPr>
        <w:t>Nov</w:t>
      </w:r>
      <w:r>
        <w:rPr>
          <w:rFonts w:cs="Calibri" w:ascii="Calibri" w:hAnsi="Calibri" w:asciiTheme="minorHAnsi" w:cstheme="minorHAnsi" w:hAnsiTheme="minorHAnsi"/>
          <w:b/>
          <w:sz w:val="20"/>
          <w:szCs w:val="20"/>
        </w:rPr>
        <w:t xml:space="preserve">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450" w:gutter="0" w:header="270" w:top="1440" w:footer="343"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5"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6"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10">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1"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4" wp14:anchorId="25A64693">
              <wp:simplePos x="0" y="0"/>
              <wp:positionH relativeFrom="column">
                <wp:posOffset>-829310</wp:posOffset>
              </wp:positionH>
              <wp:positionV relativeFrom="paragraph">
                <wp:posOffset>302260</wp:posOffset>
              </wp:positionV>
              <wp:extent cx="7154545" cy="635"/>
              <wp:effectExtent l="6350" t="6350" r="6350" b="6350"/>
              <wp:wrapNone/>
              <wp:docPr id="2"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10">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3"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4" wp14:anchorId="25A64693">
              <wp:simplePos x="0" y="0"/>
              <wp:positionH relativeFrom="column">
                <wp:posOffset>-829310</wp:posOffset>
              </wp:positionH>
              <wp:positionV relativeFrom="paragraph">
                <wp:posOffset>302260</wp:posOffset>
              </wp:positionV>
              <wp:extent cx="7154545" cy="635"/>
              <wp:effectExtent l="6350" t="6350" r="6350" b="6350"/>
              <wp:wrapNone/>
              <wp:docPr id="4"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c47"/>
    <w:pPr>
      <w:widowControl/>
      <w:suppressAutoHyphens w:val="true"/>
      <w:bidi w:val="0"/>
      <w:spacing w:before="0" w:after="0"/>
      <w:jc w:val="start"/>
    </w:pPr>
    <w:rPr>
      <w:rFonts w:ascii="Times New Roman" w:hAnsi="Times New Roman" w:eastAsia="Times New Roman" w:cs="Times New Roman"/>
      <w:color w:val="auto"/>
      <w:kern w:val="0"/>
      <w:sz w:val="24"/>
      <w:szCs w:val="24"/>
      <w:lang w:eastAsia="ar-SA" w:val="en-US" w:bidi="ar-SA"/>
    </w:rPr>
  </w:style>
  <w:style w:type="character" w:styleId="DefaultParagraphFont" w:default="1">
    <w:name w:val="Default Paragraph Font"/>
    <w:uiPriority w:val="1"/>
    <w:unhideWhenUsed/>
    <w:qFormat/>
    <w:rPr/>
  </w:style>
  <w:style w:type="character" w:styleId="WW8Num3z0" w:customStyle="1">
    <w:name w:val="WW8Num3z0"/>
    <w:qFormat/>
    <w:rsid w:val="001a5c47"/>
    <w:rPr>
      <w:rFonts w:ascii="Wingdings" w:hAnsi="Wingdings"/>
    </w:rPr>
  </w:style>
  <w:style w:type="character" w:styleId="WW8Num3z1" w:customStyle="1">
    <w:name w:val="WW8Num3z1"/>
    <w:qFormat/>
    <w:rsid w:val="001a5c47"/>
    <w:rPr>
      <w:rFonts w:ascii="Courier New" w:hAnsi="Courier New" w:cs="Courier New"/>
    </w:rPr>
  </w:style>
  <w:style w:type="character" w:styleId="WW8Num3z3" w:customStyle="1">
    <w:name w:val="WW8Num3z3"/>
    <w:qFormat/>
    <w:rsid w:val="001a5c47"/>
    <w:rPr>
      <w:rFonts w:ascii="Symbol" w:hAnsi="Symbol"/>
    </w:rPr>
  </w:style>
  <w:style w:type="character" w:styleId="DefaultParagraphFont1" w:customStyle="1">
    <w:name w:val="Default Paragraph Font1"/>
    <w:qFormat/>
    <w:rsid w:val="001a5c47"/>
    <w:rPr/>
  </w:style>
  <w:style w:type="character" w:styleId="Hyperlink">
    <w:name w:val="Hyperlink"/>
    <w:uiPriority w:val="99"/>
    <w:rsid w:val="001a5c47"/>
    <w:rPr>
      <w:color w:val="0000FF"/>
      <w:u w:val="single"/>
    </w:rPr>
  </w:style>
  <w:style w:type="character" w:styleId="FootnoteTextChar" w:customStyle="1">
    <w:name w:val="Footnote Text Char"/>
    <w:link w:val="FootnoteText"/>
    <w:qFormat/>
    <w:rsid w:val="0003613e"/>
    <w:rPr>
      <w:lang w:eastAsia="ar-SA"/>
    </w:rPr>
  </w:style>
  <w:style w:type="character" w:styleId="FootnoteCharacters">
    <w:name w:val="Footnote Characters"/>
    <w:qFormat/>
    <w:rsid w:val="0003613e"/>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2f39aa"/>
    <w:rPr>
      <w:sz w:val="24"/>
      <w:szCs w:val="24"/>
      <w:lang w:eastAsia="ar-SA"/>
    </w:rPr>
  </w:style>
  <w:style w:type="character" w:styleId="FooterChar" w:customStyle="1">
    <w:name w:val="Footer Char"/>
    <w:link w:val="Footer"/>
    <w:uiPriority w:val="99"/>
    <w:qFormat/>
    <w:rsid w:val="002f39aa"/>
    <w:rPr>
      <w:sz w:val="24"/>
      <w:szCs w:val="24"/>
      <w:lang w:eastAsia="ar-SA"/>
    </w:rPr>
  </w:style>
  <w:style w:type="character" w:styleId="BalloonTextChar" w:customStyle="1">
    <w:name w:val="Balloon Text Char"/>
    <w:link w:val="BalloonText"/>
    <w:qFormat/>
    <w:rsid w:val="00312fa8"/>
    <w:rPr>
      <w:rFonts w:ascii="Tahoma" w:hAnsi="Tahoma" w:cs="Tahoma"/>
      <w:sz w:val="16"/>
      <w:szCs w:val="16"/>
      <w:lang w:eastAsia="ar-SA"/>
    </w:rPr>
  </w:style>
  <w:style w:type="character" w:styleId="PlainTextChar" w:customStyle="1">
    <w:name w:val="Plain Text Char"/>
    <w:basedOn w:val="DefaultParagraphFont"/>
    <w:link w:val="PlainText"/>
    <w:uiPriority w:val="99"/>
    <w:qFormat/>
    <w:rsid w:val="0086475d"/>
    <w:rPr>
      <w:rFonts w:ascii="Calibri" w:hAnsi="Calibri" w:eastAsia="Calibri"/>
      <w:sz w:val="22"/>
      <w:szCs w:val="21"/>
    </w:rPr>
  </w:style>
  <w:style w:type="character" w:styleId="CommentReference">
    <w:name w:val="annotation reference"/>
    <w:basedOn w:val="DefaultParagraphFont"/>
    <w:semiHidden/>
    <w:unhideWhenUsed/>
    <w:qFormat/>
    <w:rsid w:val="00f404a0"/>
    <w:rPr>
      <w:sz w:val="16"/>
      <w:szCs w:val="16"/>
    </w:rPr>
  </w:style>
  <w:style w:type="character" w:styleId="CommentTextChar" w:customStyle="1">
    <w:name w:val="Comment Text Char"/>
    <w:basedOn w:val="DefaultParagraphFont"/>
    <w:link w:val="CommentText"/>
    <w:qFormat/>
    <w:rsid w:val="00f404a0"/>
    <w:rPr>
      <w:lang w:eastAsia="ar-SA"/>
    </w:rPr>
  </w:style>
  <w:style w:type="character" w:styleId="CommentSubjectChar" w:customStyle="1">
    <w:name w:val="Comment Subject Char"/>
    <w:basedOn w:val="CommentTextChar"/>
    <w:link w:val="annotationsubject"/>
    <w:semiHidden/>
    <w:qFormat/>
    <w:rsid w:val="00f404a0"/>
    <w:rPr>
      <w:b/>
      <w:bCs/>
      <w:lang w:eastAsia="ar-SA"/>
    </w:rPr>
  </w:style>
  <w:style w:type="paragraph" w:styleId="Heading" w:customStyle="1">
    <w:name w:val="Heading"/>
    <w:basedOn w:val="Normal"/>
    <w:next w:val="BodyText"/>
    <w:qFormat/>
    <w:rsid w:val="001a5c47"/>
    <w:pPr>
      <w:keepNext w:val="true"/>
      <w:spacing w:before="240" w:after="120"/>
    </w:pPr>
    <w:rPr>
      <w:rFonts w:ascii="Arial" w:hAnsi="Arial" w:eastAsia="Arial Unicode MS" w:cs="Tahoma"/>
      <w:sz w:val="28"/>
      <w:szCs w:val="28"/>
    </w:rPr>
  </w:style>
  <w:style w:type="paragraph" w:styleId="BodyText">
    <w:name w:val="Body Text"/>
    <w:basedOn w:val="Normal"/>
    <w:rsid w:val="001a5c47"/>
    <w:pPr>
      <w:spacing w:before="0" w:after="120"/>
    </w:pPr>
    <w:rPr/>
  </w:style>
  <w:style w:type="paragraph" w:styleId="List">
    <w:name w:val="List"/>
    <w:basedOn w:val="BodyText"/>
    <w:rsid w:val="001a5c47"/>
    <w:pPr/>
    <w:rPr>
      <w:rFonts w:cs="Tahoma"/>
    </w:rPr>
  </w:style>
  <w:style w:type="paragraph" w:styleId="Caption">
    <w:name w:val="caption"/>
    <w:basedOn w:val="Normal"/>
    <w:qFormat/>
    <w:rsid w:val="001a5c47"/>
    <w:pPr>
      <w:suppressLineNumbers/>
      <w:spacing w:before="120" w:after="120"/>
    </w:pPr>
    <w:rPr>
      <w:rFonts w:cs="Tahoma"/>
      <w:i/>
      <w:iCs/>
    </w:rPr>
  </w:style>
  <w:style w:type="paragraph" w:styleId="Index" w:customStyle="1">
    <w:name w:val="Index"/>
    <w:basedOn w:val="Normal"/>
    <w:qFormat/>
    <w:rsid w:val="001a5c47"/>
    <w:pPr>
      <w:suppressLineNumbers/>
    </w:pPr>
    <w:rPr>
      <w:rFonts w:cs="Tahoma"/>
    </w:rPr>
  </w:style>
  <w:style w:type="paragraph" w:styleId="TableContents" w:customStyle="1">
    <w:name w:val="Table Contents"/>
    <w:basedOn w:val="Normal"/>
    <w:qFormat/>
    <w:rsid w:val="001a5c47"/>
    <w:pPr>
      <w:suppressLineNumbers/>
    </w:pPr>
    <w:rPr/>
  </w:style>
  <w:style w:type="paragraph" w:styleId="TableHeading" w:customStyle="1">
    <w:name w:val="Table Heading"/>
    <w:basedOn w:val="TableContents"/>
    <w:qFormat/>
    <w:rsid w:val="001a5c47"/>
    <w:pPr>
      <w:jc w:val="center"/>
    </w:pPr>
    <w:rPr>
      <w:b/>
      <w:bCs/>
    </w:rPr>
  </w:style>
  <w:style w:type="paragraph" w:styleId="FootnoteText">
    <w:name w:val="footnote text"/>
    <w:basedOn w:val="Normal"/>
    <w:link w:val="FootnoteTextChar"/>
    <w:rsid w:val="0003613e"/>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2f39aa"/>
    <w:pPr>
      <w:tabs>
        <w:tab w:val="clear" w:pos="720"/>
        <w:tab w:val="center" w:pos="4680" w:leader="none"/>
        <w:tab w:val="right" w:pos="9360" w:leader="none"/>
      </w:tabs>
    </w:pPr>
    <w:rPr/>
  </w:style>
  <w:style w:type="paragraph" w:styleId="Footer">
    <w:name w:val="footer"/>
    <w:basedOn w:val="Normal"/>
    <w:link w:val="FooterChar"/>
    <w:uiPriority w:val="99"/>
    <w:rsid w:val="002f39aa"/>
    <w:pPr>
      <w:tabs>
        <w:tab w:val="clear" w:pos="720"/>
        <w:tab w:val="center" w:pos="4680" w:leader="none"/>
        <w:tab w:val="right" w:pos="9360" w:leader="none"/>
      </w:tabs>
    </w:pPr>
    <w:rPr/>
  </w:style>
  <w:style w:type="paragraph" w:styleId="BalloonText">
    <w:name w:val="Balloon Text"/>
    <w:basedOn w:val="Normal"/>
    <w:link w:val="BalloonTextChar"/>
    <w:qFormat/>
    <w:rsid w:val="00312fa8"/>
    <w:pPr/>
    <w:rPr>
      <w:rFonts w:ascii="Tahoma" w:hAnsi="Tahoma"/>
      <w:sz w:val="16"/>
      <w:szCs w:val="16"/>
    </w:rPr>
  </w:style>
  <w:style w:type="paragraph" w:styleId="ListParagraph">
    <w:name w:val="List Paragraph"/>
    <w:basedOn w:val="Normal"/>
    <w:uiPriority w:val="34"/>
    <w:qFormat/>
    <w:rsid w:val="00b60ad5"/>
    <w:pPr>
      <w:suppressAutoHyphens w:val="false"/>
      <w:ind w:start="720"/>
    </w:pPr>
    <w:rPr>
      <w:rFonts w:ascii="Calibri" w:hAnsi="Calibri" w:eastAsia="Calibri" w:cs="Calibri"/>
      <w:sz w:val="22"/>
      <w:szCs w:val="22"/>
      <w:lang w:eastAsia="en-US"/>
    </w:rPr>
  </w:style>
  <w:style w:type="paragraph" w:styleId="PlainText">
    <w:name w:val="Plain Text"/>
    <w:basedOn w:val="Normal"/>
    <w:link w:val="PlainTextChar"/>
    <w:uiPriority w:val="99"/>
    <w:unhideWhenUsed/>
    <w:qFormat/>
    <w:rsid w:val="0086475d"/>
    <w:pPr>
      <w:suppressAutoHyphens w:val="false"/>
    </w:pPr>
    <w:rPr>
      <w:rFonts w:ascii="Calibri" w:hAnsi="Calibri" w:eastAsia="Calibri"/>
      <w:sz w:val="22"/>
      <w:szCs w:val="21"/>
      <w:lang w:eastAsia="en-US"/>
    </w:rPr>
  </w:style>
  <w:style w:type="paragraph" w:styleId="NormalWeb">
    <w:name w:val="Normal (Web)"/>
    <w:basedOn w:val="Normal"/>
    <w:uiPriority w:val="99"/>
    <w:unhideWhenUsed/>
    <w:qFormat/>
    <w:rsid w:val="00f43302"/>
    <w:pPr>
      <w:suppressAutoHyphens w:val="false"/>
    </w:pPr>
    <w:rPr>
      <w:rFonts w:ascii="Aptos" w:hAnsi="Aptos" w:eastAsia="Calibri" w:cs="Aptos" w:eastAsiaTheme="minorHAnsi"/>
      <w:lang w:eastAsia="en-US"/>
    </w:rPr>
  </w:style>
  <w:style w:type="paragraph" w:styleId="CommentText">
    <w:name w:val="annotation text"/>
    <w:basedOn w:val="Normal"/>
    <w:link w:val="CommentTextChar"/>
    <w:unhideWhenUsed/>
    <w:rsid w:val="00f404a0"/>
    <w:pPr/>
    <w:rPr>
      <w:sz w:val="20"/>
      <w:szCs w:val="20"/>
    </w:rPr>
  </w:style>
  <w:style w:type="paragraph" w:styleId="annotationsubject">
    <w:name w:val="annotation subject"/>
    <w:basedOn w:val="CommentText"/>
    <w:next w:val="CommentText"/>
    <w:link w:val="CommentSubjectChar"/>
    <w:semiHidden/>
    <w:unhideWhenUsed/>
    <w:qFormat/>
    <w:rsid w:val="00f404a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e17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3EEC-07F8-4208-9FFA-3EAA8EFF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Application>LibreOffice/25.8.2.2$Windows_X86_64 LibreOffice_project/d401f2107ccab8f924a8e2df40f573aab7605b6f</Application>
  <AppVersion>15.0000</AppVersion>
  <Pages>3</Pages>
  <Words>817</Words>
  <Characters>4563</Characters>
  <CharactersWithSpaces>5260</CharactersWithSpaces>
  <Paragraphs>162</Paragraphs>
  <Company>sks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2024-05-01T03:51:00Z</dcterms:created>
  <dc:creator>Debasis</dc:creator>
  <dc:description/>
  <dc:language>en-IN</dc:language>
  <cp:lastModifiedBy/>
  <cp:lastPrinted>2015-03-04T17:10:00Z</cp:lastPrinted>
  <dcterms:modified xsi:type="dcterms:W3CDTF">2025-11-11T15:01:19Z</dcterms:modified>
  <cp:revision>310</cp:revision>
  <dc:subject/>
  <dc:title>Check list for the reporting of fraud: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