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739" w:tblpY="1947"/>
        <w:tblW w:w="10998"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OR1616</w:t>
            </w:r>
          </w:p>
        </w:tc>
        <w:tc>
          <w:tcPr>
            <w:tcW w:w="1553"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Mangalpur</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Jajpur Town</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Bhadrak</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Bhadrak</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Bhagirath Das/           SF0059786</w:t>
            </w:r>
          </w:p>
        </w:tc>
        <w:tc>
          <w:tcPr>
            <w:tcW w:w="1553" w:type="dxa"/>
            <w:tcBorders>
              <w:top w:val="single" w:sz="4" w:space="0" w:color="000000"/>
              <w:start w:val="single" w:sz="4" w:space="0" w:color="000000"/>
              <w:bottom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Himansu Maishal/ SF0069838</w:t>
            </w:r>
          </w:p>
        </w:tc>
        <w:tc>
          <w:tcPr>
            <w:tcW w:w="1410" w:type="dxa"/>
            <w:tcBorders>
              <w:top w:val="single" w:sz="4" w:space="0" w:color="000000"/>
              <w:start w:val="single" w:sz="4" w:space="0" w:color="000000"/>
              <w:bottom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Biranchi Narayan Swain/SF0003954</w:t>
            </w:r>
          </w:p>
        </w:tc>
        <w:tc>
          <w:tcPr>
            <w:tcW w:w="1357"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Krushna Chandra Sahoo/SF0083225</w:t>
            </w:r>
          </w:p>
        </w:tc>
        <w:tc>
          <w:tcPr>
            <w:tcW w:w="1733"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Alok Kumar Maharana/SF0083414</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03/10/2025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15-10-2025</w:t>
            </w:r>
          </w:p>
        </w:tc>
        <w:tc>
          <w:tcPr>
            <w:tcW w:w="181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17-10-2025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1062"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101458/-</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627"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At that time of Center Visit on Mangalpur (OR1616) Branch by BM Bhagirath Das/SF0059786 visited Center Khosalpur C1 and observed that Lo Tapas Kumar Rout/SF0071746 had collected 7 EMI from borrower Sanjukta Jena </w:t>
            </w:r>
            <w:r>
              <w:rPr>
                <w:rFonts w:cs="Calibri" w:ascii="Calibri" w:hAnsi="Calibri" w:asciiTheme="minorHAnsi" w:cstheme="minorHAnsi" w:hAnsiTheme="minorHAnsi"/>
                <w:b/>
                <w:bCs/>
                <w:sz w:val="20"/>
                <w:szCs w:val="20"/>
              </w:rPr>
              <w:t xml:space="preserve">Rs.15680/- </w:t>
            </w:r>
            <w:r>
              <w:rPr>
                <w:rFonts w:cs="Calibri" w:ascii="Calibri" w:hAnsi="Calibri" w:asciiTheme="minorHAnsi" w:cstheme="minorHAnsi" w:hAnsiTheme="minorHAnsi"/>
                <w:sz w:val="20"/>
                <w:szCs w:val="20"/>
              </w:rPr>
              <w:t>but that amount not inputted in FIMO. The borrower provided Loan card as evidence. As per the above Collection misappropriation, the complaint was lodged on 03</w:t>
            </w:r>
            <w:r>
              <w:rPr>
                <w:rFonts w:cs="Calibri" w:ascii="Calibri" w:hAnsi="Calibri" w:asciiTheme="minorHAnsi" w:cstheme="minorHAnsi" w:hAnsiTheme="minorHAnsi"/>
                <w:sz w:val="20"/>
                <w:szCs w:val="20"/>
                <w:vertAlign w:val="superscript"/>
              </w:rPr>
              <w:t>rd</w:t>
            </w:r>
            <w:r>
              <w:rPr>
                <w:rFonts w:cs="Calibri" w:ascii="Calibri" w:hAnsi="Calibri" w:asciiTheme="minorHAnsi" w:cstheme="minorHAnsi" w:hAnsiTheme="minorHAnsi"/>
                <w:sz w:val="20"/>
                <w:szCs w:val="20"/>
              </w:rPr>
              <w:t xml:space="preserve"> Oct 2025, vide complaint Number </w:t>
            </w:r>
            <w:r>
              <w:rPr>
                <w:rFonts w:cs="Calibri" w:ascii="Calibri" w:hAnsi="Calibri" w:asciiTheme="minorHAnsi" w:cstheme="minorHAnsi" w:hAnsiTheme="minorHAnsi"/>
                <w:b/>
                <w:bCs/>
                <w:sz w:val="20"/>
                <w:szCs w:val="20"/>
              </w:rPr>
              <w:t>FN25-26-02445.</w:t>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lang w:eastAsia="en-US"/>
              </w:rPr>
              <w:t xml:space="preserve">Now LO </w:t>
            </w:r>
            <w:r>
              <w:rPr>
                <w:rFonts w:cs="Calibri" w:ascii="Calibri" w:hAnsi="Calibri" w:asciiTheme="minorHAnsi" w:cstheme="minorHAnsi" w:hAnsiTheme="minorHAnsi"/>
                <w:sz w:val="20"/>
                <w:szCs w:val="20"/>
              </w:rPr>
              <w:t>Tapas Kumar Rout/SF0071746 is Terminate as per HR records.</w:t>
            </w:r>
          </w:p>
          <w:p>
            <w:pPr>
              <w:pStyle w:val="Normal"/>
              <w:jc w:val="both"/>
              <w:rPr>
                <w:rFonts w:ascii="Calibri" w:hAnsi="Calibri" w:cs="Calibri" w:asciiTheme="minorHAnsi" w:cstheme="minorHAnsi" w:hAnsiTheme="minorHAnsi"/>
                <w:b/>
                <w:bCs/>
                <w:color w:val="000000"/>
                <w:sz w:val="20"/>
                <w:szCs w:val="20"/>
                <w:lang w:eastAsia="en-US"/>
              </w:rPr>
            </w:pPr>
            <w:r>
              <w:rPr>
                <w:rFonts w:cs="Calibri" w:ascii="Calibri" w:hAnsi="Calibri" w:asciiTheme="minorHAnsi" w:cstheme="minorHAnsi" w:hAnsiTheme="minorHAnsi"/>
                <w:sz w:val="20"/>
                <w:szCs w:val="20"/>
              </w:rPr>
              <w:t xml:space="preserve">Post completion of the investigation, we identified </w:t>
            </w:r>
            <w:r>
              <w:rPr>
                <w:rFonts w:cs="Calibri" w:ascii="Calibri" w:hAnsi="Calibri" w:asciiTheme="minorHAnsi" w:cstheme="minorHAnsi" w:hAnsiTheme="minorHAnsi"/>
                <w:b/>
                <w:bCs/>
                <w:sz w:val="20"/>
                <w:szCs w:val="20"/>
              </w:rPr>
              <w:t>Rs.</w:t>
            </w:r>
            <w:r>
              <w:rPr>
                <w:rFonts w:cs="Calibri" w:ascii="Calibri" w:hAnsi="Calibri" w:asciiTheme="minorHAnsi" w:cstheme="minorHAnsi" w:hAnsiTheme="minorHAnsi"/>
                <w:b/>
                <w:sz w:val="20"/>
                <w:szCs w:val="20"/>
              </w:rPr>
              <w:t xml:space="preserve"> 101458/-</w:t>
            </w:r>
            <w:r>
              <w:rPr>
                <w:rFonts w:cs="Calibri" w:ascii="Calibri" w:hAnsi="Calibri" w:asciiTheme="minorHAnsi" w:cstheme="minorHAnsi" w:hAnsiTheme="minorHAnsi"/>
                <w:sz w:val="20"/>
                <w:szCs w:val="20"/>
              </w:rPr>
              <w:t xml:space="preserve"> amount of cash misappropriation on 10 nos of borrowers against </w:t>
            </w:r>
            <w:r>
              <w:rPr>
                <w:rFonts w:cs="Calibri" w:ascii="Calibri" w:hAnsi="Calibri" w:asciiTheme="minorHAnsi" w:cstheme="minorHAnsi" w:hAnsiTheme="minorHAnsi"/>
                <w:color w:val="000000"/>
                <w:sz w:val="20"/>
                <w:szCs w:val="20"/>
                <w:lang w:eastAsia="en-US"/>
              </w:rPr>
              <w:t xml:space="preserve">LO </w:t>
            </w:r>
            <w:r>
              <w:rPr>
                <w:rFonts w:cs="Calibri" w:ascii="Calibri" w:hAnsi="Calibri" w:asciiTheme="minorHAnsi" w:cstheme="minorHAnsi" w:hAnsiTheme="minorHAnsi"/>
                <w:sz w:val="20"/>
                <w:szCs w:val="20"/>
              </w:rPr>
              <w:t>Tapas Kumar Rout/SF0071746.</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Brief Details of the incident:</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Investigation Approach:</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The Audit team visited these Affected Borrower find by Branch team, those handled by Tapas Kumar Rout, to check the availability of the borrower, and the amount collected was not accounted for.</w:t>
            </w:r>
          </w:p>
          <w:p>
            <w:pPr>
              <w:pStyle w:val="Normal"/>
              <w:suppressAutoHyphens w:val="false"/>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Modus Operandi:</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Loan Officer Tapas Kumar Rout employee ID SF0071746, made a cash misappropriation with an amount of </w:t>
            </w:r>
            <w:r>
              <w:rPr>
                <w:rFonts w:cs="Calibri" w:ascii="Calibri" w:hAnsi="Calibri" w:asciiTheme="minorHAnsi" w:cstheme="minorHAnsi" w:hAnsiTheme="minorHAnsi"/>
                <w:b/>
                <w:bCs/>
                <w:color w:val="000000"/>
                <w:sz w:val="20"/>
                <w:szCs w:val="20"/>
                <w:u w:val="single"/>
                <w:lang w:eastAsia="en-US"/>
              </w:rPr>
              <w:t>Rs-101458/-</w:t>
            </w:r>
            <w:r>
              <w:rPr>
                <w:rFonts w:cs="Calibri" w:ascii="Calibri" w:hAnsi="Calibri" w:asciiTheme="minorHAnsi" w:cstheme="minorHAnsi" w:hAnsiTheme="minorHAnsi"/>
                <w:color w:val="000000"/>
                <w:sz w:val="20"/>
                <w:szCs w:val="20"/>
                <w:lang w:eastAsia="en-US"/>
              </w:rPr>
              <w:t xml:space="preserve"> for 10 borrowers.</w:t>
            </w:r>
          </w:p>
          <w:p>
            <w:pPr>
              <w:pStyle w:val="Normal"/>
              <w:suppressAutoHyphens w:val="false"/>
              <w:ind w:start="360"/>
              <w:rPr>
                <w:rFonts w:ascii="Calibri" w:hAnsi="Calibri" w:cs="Calibri" w:asciiTheme="minorHAnsi" w:cstheme="minorHAnsi" w:hAnsiTheme="minorHAnsi"/>
                <w:b/>
                <w:bCs/>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10 borrowers handed by LO.</w:t>
              <w:br/>
              <w:t xml:space="preserve">• Post Verification, it was observed that a total of 10 Borrowers Were Present. Observed fraud for 10nos borrowers of </w:t>
            </w:r>
            <w:r>
              <w:rPr>
                <w:rFonts w:cs="Calibri" w:ascii="Calibri" w:hAnsi="Calibri" w:asciiTheme="minorHAnsi" w:cstheme="minorHAnsi" w:hAnsiTheme="minorHAnsi"/>
                <w:b/>
                <w:bCs/>
                <w:color w:val="000000"/>
                <w:sz w:val="20"/>
                <w:szCs w:val="20"/>
                <w:u w:val="single"/>
                <w:lang w:eastAsia="en-US"/>
              </w:rPr>
              <w:t>Rs 101458/-</w:t>
            </w:r>
            <w:r>
              <w:rPr>
                <w:rFonts w:cs="Calibri" w:ascii="Calibri" w:hAnsi="Calibri" w:asciiTheme="minorHAnsi" w:cstheme="minorHAnsi" w:hAnsiTheme="minorHAnsi"/>
                <w:color w:val="000000"/>
                <w:sz w:val="20"/>
                <w:szCs w:val="20"/>
                <w:lang w:eastAsia="en-US"/>
              </w:rPr>
              <w:t>. Rs-32960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71748</w:t>
            </w:r>
            <w:r>
              <w:rPr>
                <w:rFonts w:cs="Calibri" w:ascii="Calibri" w:hAnsi="Calibri" w:asciiTheme="minorHAnsi" w:cstheme="minorHAnsi" w:hAnsiTheme="minorHAnsi"/>
                <w:b/>
                <w:bCs/>
                <w:color w:val="000000"/>
                <w:sz w:val="20"/>
                <w:szCs w:val="20"/>
              </w:rPr>
              <w:t>/-.</w:t>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color w:val="000000"/>
                <w:sz w:val="20"/>
                <w:szCs w:val="20"/>
              </w:rPr>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5" w:tblpY="2731"/>
              <w:tblOverlap w:val="never"/>
              <w:tblW w:w="1064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 Misappropriation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8</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67598</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7320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60278</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Pre-Closure Misappropriation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2</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33860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25640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8220</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10</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101458</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32960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68498</w:t>
                  </w:r>
                </w:p>
              </w:tc>
            </w:tr>
          </w:tbl>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r>
          </w:p>
          <w:p>
            <w:pPr>
              <w:pStyle w:val="Normal"/>
              <w:jc w:val="both"/>
              <w:rPr>
                <w:rFonts w:cs="Calibri" w:cstheme="minorHAnsi"/>
                <w:b/>
                <w:sz w:val="20"/>
                <w:szCs w:val="20"/>
              </w:rPr>
            </w:pP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p>
            <w:pPr>
              <w:pStyle w:val="Normal"/>
              <w:jc w:val="both"/>
              <w:rPr>
                <w:rFonts w:cs="Calibri" w:cstheme="minorHAnsi"/>
                <w:bCs/>
                <w:sz w:val="20"/>
                <w:szCs w:val="20"/>
              </w:rPr>
            </w:pPr>
            <w:r>
              <w:rPr>
                <w:rFonts w:cs="Calibri" w:cstheme="minorHAnsi"/>
                <w:bCs/>
                <w:sz w:val="20"/>
                <w:szCs w:val="20"/>
              </w:rPr>
              <w:t>4. Cash Receipt</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779" w:tblpY="-58"/>
        <w:tblW w:w="1091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Bhagirath Das/SF0059786/BM/Operation/Khosalpur C1</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vertAlign w:val="superscript"/>
              </w:rPr>
            </w:pPr>
            <w:r>
              <w:rPr>
                <w:rFonts w:cs="Calibri" w:ascii="Calibri" w:hAnsi="Calibri" w:asciiTheme="minorHAnsi" w:cstheme="minorHAnsi" w:hAnsiTheme="minorHAnsi"/>
                <w:sz w:val="20"/>
                <w:szCs w:val="20"/>
              </w:rPr>
              <w:t>03</w:t>
            </w:r>
            <w:r>
              <w:rPr>
                <w:rFonts w:cs="Calibri" w:ascii="Calibri" w:hAnsi="Calibri" w:asciiTheme="minorHAnsi" w:cstheme="minorHAnsi" w:hAnsiTheme="minorHAnsi"/>
                <w:sz w:val="20"/>
                <w:szCs w:val="20"/>
                <w:vertAlign w:val="superscript"/>
              </w:rPr>
              <w:t>rd</w:t>
            </w:r>
            <w:r>
              <w:rPr>
                <w:rFonts w:cs="Calibri" w:ascii="Calibri" w:hAnsi="Calibri" w:asciiTheme="minorHAnsi" w:cstheme="minorHAnsi" w:hAnsiTheme="minorHAnsi"/>
                <w:sz w:val="20"/>
                <w:szCs w:val="20"/>
              </w:rPr>
              <w:t xml:space="preserve"> Oct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Tapas Kumar Rout/SF0071746 </w:t>
            </w:r>
            <w:r>
              <w:rPr>
                <w:rFonts w:cs="Calibri" w:ascii="Calibri" w:hAnsi="Calibri" w:asciiTheme="minorHAnsi" w:cstheme="minorHAnsi" w:hAnsiTheme="minorHAnsi"/>
                <w:color w:val="000000"/>
                <w:sz w:val="20"/>
                <w:szCs w:val="20"/>
                <w:lang w:eastAsia="en-US"/>
              </w:rPr>
              <w:t>/Loan Officer</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1062"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Tapas Kumar Rout</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SF0071746</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Loan Officer</w:t>
            </w:r>
          </w:p>
        </w:tc>
        <w:tc>
          <w:tcPr>
            <w:tcW w:w="17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10-03-2023</w:t>
            </w:r>
          </w:p>
        </w:tc>
        <w:tc>
          <w:tcPr>
            <w:tcW w:w="1702"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10-03-2023</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09-07-2025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ListParagraph"/>
        <w:ind w:start="-1260" w:end="209"/>
        <w:jc w:val="both"/>
        <w:rPr>
          <w:rFonts w:ascii="Calibri" w:hAnsi="Calibri" w:cs="Calibri" w:asciiTheme="minorHAnsi" w:cstheme="minorHAnsi" w:hAnsiTheme="minorHAnsi"/>
          <w:b/>
          <w:sz w:val="20"/>
          <w:szCs w:val="20"/>
        </w:rPr>
      </w:pPr>
      <w:r>
        <w:rPr>
          <w:rFonts w:cs="Calibri" w:cstheme="minorHAnsi"/>
          <w:b/>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Report prepared by</w:t>
        <w:tab/>
        <w:t xml:space="preserve">: </w:t>
      </w:r>
      <w:r>
        <w:rPr>
          <w:rFonts w:cs="Calibri" w:ascii="Calibri" w:hAnsi="Calibri" w:asciiTheme="minorHAnsi" w:cstheme="minorHAnsi" w:hAnsiTheme="minorHAnsi"/>
          <w:b/>
          <w:sz w:val="20"/>
          <w:szCs w:val="20"/>
        </w:rPr>
        <w:t>FRM Team</w:t>
      </w:r>
      <w:r>
        <w:rPr>
          <w:rFonts w:cs="Calibri" w:ascii="Calibri" w:hAnsi="Calibri" w:asciiTheme="minorHAnsi" w:cstheme="minorHAnsi" w:hAnsiTheme="minorHAnsi"/>
          <w:b/>
          <w:sz w:val="20"/>
          <w:szCs w:val="20"/>
        </w:rPr>
        <w:t>.</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xml:space="preserve">: </w:t>
      </w:r>
      <w:r>
        <w:rPr>
          <w:rFonts w:cs="Calibri" w:ascii="Calibri" w:hAnsi="Calibri" w:asciiTheme="minorHAnsi" w:cstheme="minorHAnsi" w:hAnsiTheme="minorHAnsi"/>
          <w:b/>
          <w:sz w:val="20"/>
          <w:szCs w:val="20"/>
        </w:rPr>
        <w:t>11</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Nov</w:t>
      </w:r>
      <w:r>
        <w:rPr>
          <w:rFonts w:cs="Calibri" w:ascii="Calibri" w:hAnsi="Calibri" w:asciiTheme="minorHAnsi" w:cstheme="minorHAnsi" w:hAnsiTheme="minorHAnsi"/>
          <w:b/>
          <w:sz w:val="20"/>
          <w:szCs w:val="20"/>
        </w:rPr>
        <w:t xml:space="preserve">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10"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10"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4">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7"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4">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7"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semiHidden/>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Application>LibreOffice/25.8.2.2$Windows_X86_64 LibreOffice_project/d401f2107ccab8f924a8e2df40f573aab7605b6f</Application>
  <AppVersion>15.0000</AppVersion>
  <Pages>3</Pages>
  <Words>727</Words>
  <Characters>4112</Characters>
  <CharactersWithSpaces>4703</CharactersWithSpaces>
  <Paragraphs>154</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2025-11-11T15:15:06Z</dcterms:modified>
  <cp:revision>309</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