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page" w:leftFromText="180" w:rightFromText="180" w:tblpX="739" w:tblpY="1947"/>
        <w:tblW w:w="10998"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1710"/>
        <w:gridCol w:w="1553"/>
        <w:gridCol w:w="1410"/>
        <w:gridCol w:w="1357"/>
        <w:gridCol w:w="1733"/>
        <w:gridCol w:w="1417"/>
        <w:gridCol w:w="1818"/>
      </w:tblGrid>
      <w:tr>
        <w:trPr>
          <w:trHeight w:val="396" w:hRule="atLeast"/>
        </w:trPr>
        <w:tc>
          <w:tcPr>
            <w:tcW w:w="1099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napToGrid w:val="false"/>
              <w:jc w:val="center"/>
              <w:rPr>
                <w:rFonts w:ascii="Arial" w:hAnsi="Arial" w:cs="Arial"/>
                <w:b/>
                <w:sz w:val="28"/>
                <w:szCs w:val="28"/>
              </w:rPr>
            </w:pPr>
            <w:r>
              <w:rPr>
                <w:rFonts w:cs="Arial" w:ascii="Arial" w:hAnsi="Arial"/>
                <w:b/>
                <w:sz w:val="28"/>
                <w:szCs w:val="28"/>
              </w:rPr>
              <w:t>Fraud Investigation Report</w:t>
            </w:r>
          </w:p>
        </w:tc>
      </w:tr>
      <w:tr>
        <w:trPr>
          <w:trHeight w:val="246" w:hRule="atLeast"/>
        </w:trPr>
        <w:tc>
          <w:tcPr>
            <w:tcW w:w="1099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Details:</w:t>
            </w:r>
          </w:p>
        </w:tc>
      </w:tr>
      <w:tr>
        <w:trPr>
          <w:trHeight w:val="323"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Code</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Name</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Area</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Region</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State</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Zone</w:t>
            </w:r>
          </w:p>
        </w:tc>
      </w:tr>
      <w:tr>
        <w:trPr>
          <w:trHeight w:val="170" w:hRule="atLeast"/>
        </w:trPr>
        <w:tc>
          <w:tcPr>
            <w:tcW w:w="17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color w:val="000000"/>
                <w:sz w:val="20"/>
                <w:szCs w:val="20"/>
              </w:rPr>
              <w:t>ORGL0235</w:t>
            </w:r>
          </w:p>
        </w:tc>
        <w:tc>
          <w:tcPr>
            <w:tcW w:w="1553"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Tahoma" w:ascii="Tahoma" w:hAnsi="Tahoma"/>
                <w:color w:val="000000"/>
                <w:sz w:val="18"/>
                <w:szCs w:val="18"/>
              </w:rPr>
              <w:t>Paralakhemundi</w:t>
            </w:r>
          </w:p>
        </w:tc>
        <w:tc>
          <w:tcPr>
            <w:tcW w:w="14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color w:val="000000"/>
                <w:sz w:val="20"/>
                <w:szCs w:val="20"/>
              </w:rPr>
              <w:t>Mohana</w:t>
            </w:r>
          </w:p>
        </w:tc>
        <w:tc>
          <w:tcPr>
            <w:tcW w:w="1357"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color w:val="000000"/>
                <w:sz w:val="20"/>
                <w:szCs w:val="20"/>
              </w:rPr>
              <w:t>Berhampur</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color w:val="000000"/>
                <w:sz w:val="20"/>
                <w:szCs w:val="20"/>
              </w:rPr>
              <w:t>Berhampur</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Odisha</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East</w:t>
            </w:r>
          </w:p>
        </w:tc>
      </w:tr>
      <w:tr>
        <w:trPr>
          <w:trHeight w:val="719"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Manager Name/ID</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Quality Manager Name/ID</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 Manager Name/ID</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AVP Name/ID</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VP Name/ID</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SVP Name/ID</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CBO Name/ID</w:t>
            </w:r>
          </w:p>
        </w:tc>
      </w:tr>
      <w:tr>
        <w:trPr>
          <w:trHeight w:val="271" w:hRule="atLeast"/>
        </w:trPr>
        <w:tc>
          <w:tcPr>
            <w:tcW w:w="17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sz w:val="20"/>
                <w:szCs w:val="20"/>
                <w:lang w:val="en-IN"/>
              </w:rPr>
              <w:t>Jeevan Jena/SF0049211</w:t>
            </w:r>
          </w:p>
        </w:tc>
        <w:tc>
          <w:tcPr>
            <w:tcW w:w="1553"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sz w:val="20"/>
                <w:szCs w:val="20"/>
              </w:rPr>
              <w:t>Gopinath Swain/SF0002976</w:t>
            </w:r>
          </w:p>
        </w:tc>
        <w:tc>
          <w:tcPr>
            <w:tcW w:w="1357"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sz w:val="20"/>
                <w:szCs w:val="20"/>
              </w:rPr>
              <w:t>Ranjan Kumar Nayak/SF0083372</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sz w:val="20"/>
                <w:szCs w:val="20"/>
              </w:rPr>
              <w:t>Biswanath Swain / SF0056841</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Sanjaya Kumar Sahoo/SF0070624</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Shriraj Vedsen/SF0071741</w:t>
            </w:r>
          </w:p>
        </w:tc>
      </w:tr>
      <w:tr>
        <w:trPr>
          <w:trHeight w:val="350" w:hRule="atLeast"/>
        </w:trPr>
        <w:tc>
          <w:tcPr>
            <w:tcW w:w="3263" w:type="dxa"/>
            <w:gridSpan w:val="2"/>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 of Information Received</w:t>
            </w:r>
          </w:p>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13/10/2025</w:t>
            </w:r>
          </w:p>
        </w:tc>
        <w:tc>
          <w:tcPr>
            <w:tcW w:w="3090" w:type="dxa"/>
            <w:gridSpan w:val="2"/>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Date of event/transactions occurred (From-To) (</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22/10/2025</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30/10/2025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W w:w="10946" w:type="dxa"/>
        <w:jc w:val="start"/>
        <w:tblInd w:w="-1062" w:type="dxa"/>
        <w:tblLayout w:type="fixed"/>
        <w:tblCellMar>
          <w:top w:w="0" w:type="dxa"/>
          <w:start w:w="108" w:type="dxa"/>
          <w:bottom w:w="0" w:type="dxa"/>
          <w:end w:w="108" w:type="dxa"/>
        </w:tblCellMar>
        <w:tblLook w:firstRow="1" w:noVBand="1" w:lastRow="0" w:firstColumn="1" w:lastColumn="0" w:noHBand="0" w:val="04a0"/>
      </w:tblPr>
      <w:tblGrid>
        <w:gridCol w:w="4866"/>
        <w:gridCol w:w="6080"/>
      </w:tblGrid>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Type of Incident (Fraud/Robbery/Theft)</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Fraud</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 or External</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No. of staff/persons involved: Fraud/Robbery/Theft</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w:t>
            </w:r>
          </w:p>
        </w:tc>
      </w:tr>
      <w:tr>
        <w:trPr>
          <w:trHeight w:val="190"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Total Amount Involved (Rs.)</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140220/-</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Describe how the incident has been exposed/identified:</w:t>
            </w:r>
          </w:p>
        </w:tc>
      </w:tr>
      <w:tr>
        <w:trPr>
          <w:trHeight w:val="627"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During Field visit at </w:t>
            </w:r>
            <w:r>
              <w:rPr>
                <w:rFonts w:cs="Tahoma" w:ascii="Tahoma" w:hAnsi="Tahoma"/>
                <w:color w:val="000000"/>
                <w:sz w:val="18"/>
                <w:szCs w:val="18"/>
              </w:rPr>
              <w:t xml:space="preserve">Paralakhemundi </w:t>
            </w:r>
            <w:r>
              <w:rPr>
                <w:rFonts w:cs="Calibri" w:ascii="Calibri" w:hAnsi="Calibri" w:asciiTheme="minorHAnsi" w:cstheme="minorHAnsi" w:hAnsiTheme="minorHAnsi"/>
                <w:sz w:val="20"/>
                <w:szCs w:val="20"/>
              </w:rPr>
              <w:t>(</w:t>
            </w:r>
            <w:r>
              <w:rPr>
                <w:rFonts w:cs="Calibri" w:ascii="Calibri" w:hAnsi="Calibri"/>
                <w:color w:val="000000"/>
                <w:sz w:val="20"/>
                <w:szCs w:val="20"/>
              </w:rPr>
              <w:t>ORGL0235</w:t>
            </w:r>
            <w:r>
              <w:rPr>
                <w:rFonts w:cs="Calibri" w:ascii="Calibri" w:hAnsi="Calibri" w:asciiTheme="minorHAnsi" w:cstheme="minorHAnsi" w:hAnsiTheme="minorHAnsi"/>
                <w:sz w:val="20"/>
                <w:szCs w:val="20"/>
              </w:rPr>
              <w:t xml:space="preserve">) by IA </w:t>
            </w:r>
            <w:r>
              <w:rPr>
                <w:rFonts w:cs="Calibri" w:ascii="Calibri" w:hAnsi="Calibri" w:asciiTheme="minorHAnsi" w:cstheme="minorHAnsi" w:hAnsiTheme="minorHAnsi"/>
                <w:sz w:val="20"/>
                <w:szCs w:val="20"/>
                <w:lang w:val="en-IN"/>
              </w:rPr>
              <w:t>Santanu Mahananda/</w:t>
            </w:r>
            <w:r>
              <w:rPr>
                <w:rFonts w:cs="Calibri" w:ascii="Calibri" w:hAnsi="Calibri" w:asciiTheme="minorHAnsi" w:cstheme="minorHAnsi" w:hAnsiTheme="minorHAnsi"/>
                <w:sz w:val="20"/>
                <w:szCs w:val="20"/>
              </w:rPr>
              <w:t>SF0075355 visited Center 327972 and observed that LO Tarun Jena/</w:t>
            </w:r>
            <w:r>
              <w:rPr>
                <w:rFonts w:cs="Calibri" w:ascii="Calibri" w:hAnsi="Calibri"/>
                <w:color w:val="000000"/>
                <w:sz w:val="22"/>
                <w:szCs w:val="22"/>
              </w:rPr>
              <w:t xml:space="preserve"> </w:t>
            </w:r>
            <w:r>
              <w:rPr>
                <w:rFonts w:cs="Calibri" w:ascii="Calibri" w:hAnsi="Calibri" w:asciiTheme="minorHAnsi" w:cstheme="minorHAnsi" w:hAnsiTheme="minorHAnsi"/>
                <w:sz w:val="20"/>
                <w:szCs w:val="20"/>
              </w:rPr>
              <w:t xml:space="preserve">SF0084973 had collected Amount from borrower PINJIDI SABAR </w:t>
            </w:r>
            <w:r>
              <w:rPr>
                <w:rFonts w:cs="Calibri" w:ascii="Calibri" w:hAnsi="Calibri" w:asciiTheme="minorHAnsi" w:cstheme="minorHAnsi" w:hAnsiTheme="minorHAnsi"/>
                <w:b/>
                <w:bCs/>
                <w:sz w:val="20"/>
                <w:szCs w:val="20"/>
              </w:rPr>
              <w:t>Rs.8000/-,</w:t>
            </w:r>
            <w:r>
              <w:rPr/>
              <w:t xml:space="preserve"> </w:t>
            </w:r>
            <w:r>
              <w:rPr>
                <w:rFonts w:cs="Calibri" w:ascii="Calibri" w:hAnsi="Calibri" w:asciiTheme="minorHAnsi" w:cstheme="minorHAnsi" w:hAnsiTheme="minorHAnsi"/>
                <w:sz w:val="20"/>
                <w:szCs w:val="20"/>
              </w:rPr>
              <w:t xml:space="preserve">but that amount not inputted in FIMO. The borrower provided Loan Card as evidence. As per the above collection misappropriation, the complaint was lodged on 13 Oct 2025, vide complaint Number </w:t>
            </w:r>
            <w:r>
              <w:rPr>
                <w:rFonts w:cs="Calibri" w:ascii="Calibri" w:hAnsi="Calibri" w:asciiTheme="minorHAnsi" w:cstheme="minorHAnsi" w:hAnsiTheme="minorHAnsi"/>
                <w:b/>
                <w:bCs/>
                <w:sz w:val="20"/>
                <w:szCs w:val="20"/>
              </w:rPr>
              <w:t>FN25-26-02535.</w:t>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lang w:eastAsia="en-US"/>
              </w:rPr>
              <w:t xml:space="preserve">Now LO </w:t>
            </w:r>
            <w:r>
              <w:rPr>
                <w:rFonts w:cs="Calibri" w:ascii="Calibri" w:hAnsi="Calibri" w:asciiTheme="minorHAnsi" w:cstheme="minorHAnsi" w:hAnsiTheme="minorHAnsi"/>
                <w:sz w:val="20"/>
                <w:szCs w:val="20"/>
              </w:rPr>
              <w:t>Tarun Jena/</w:t>
            </w:r>
            <w:r>
              <w:rPr>
                <w:rFonts w:cs="Calibri" w:ascii="Calibri" w:hAnsi="Calibri"/>
                <w:color w:val="000000"/>
                <w:sz w:val="22"/>
                <w:szCs w:val="22"/>
              </w:rPr>
              <w:t xml:space="preserve"> </w:t>
            </w:r>
            <w:r>
              <w:rPr>
                <w:rFonts w:cs="Calibri" w:ascii="Calibri" w:hAnsi="Calibri" w:asciiTheme="minorHAnsi" w:cstheme="minorHAnsi" w:hAnsiTheme="minorHAnsi"/>
                <w:sz w:val="20"/>
                <w:szCs w:val="20"/>
              </w:rPr>
              <w:t>SF0084973 Absconding as per HR records.</w:t>
            </w:r>
          </w:p>
          <w:p>
            <w:pPr>
              <w:pStyle w:val="Normal"/>
              <w:jc w:val="both"/>
              <w:rPr>
                <w:rFonts w:ascii="Calibri" w:hAnsi="Calibri" w:cs="Calibri" w:asciiTheme="minorHAnsi" w:cstheme="minorHAnsi" w:hAnsiTheme="minorHAnsi"/>
                <w:b/>
                <w:bCs/>
                <w:color w:val="000000"/>
                <w:sz w:val="20"/>
                <w:szCs w:val="20"/>
                <w:lang w:eastAsia="en-US"/>
              </w:rPr>
            </w:pPr>
            <w:r>
              <w:rPr>
                <w:rFonts w:cs="Calibri" w:ascii="Calibri" w:hAnsi="Calibri" w:asciiTheme="minorHAnsi" w:cstheme="minorHAnsi" w:hAnsiTheme="minorHAnsi"/>
                <w:sz w:val="20"/>
                <w:szCs w:val="20"/>
              </w:rPr>
              <w:t xml:space="preserve">Post completion of the investigation, we identified </w:t>
            </w:r>
            <w:r>
              <w:rPr>
                <w:rFonts w:cs="Calibri" w:ascii="Calibri" w:hAnsi="Calibri" w:asciiTheme="minorHAnsi" w:cstheme="minorHAnsi" w:hAnsiTheme="minorHAnsi"/>
                <w:b/>
                <w:bCs/>
                <w:sz w:val="20"/>
                <w:szCs w:val="20"/>
              </w:rPr>
              <w:t>Rs.</w:t>
            </w:r>
            <w:r>
              <w:rPr>
                <w:rFonts w:cs="Calibri" w:ascii="Calibri" w:hAnsi="Calibri" w:asciiTheme="minorHAnsi" w:cstheme="minorHAnsi" w:hAnsiTheme="minorHAnsi"/>
                <w:b/>
                <w:sz w:val="20"/>
                <w:szCs w:val="20"/>
              </w:rPr>
              <w:t>140220/-</w:t>
            </w:r>
            <w:r>
              <w:rPr>
                <w:rFonts w:cs="Calibri" w:ascii="Calibri" w:hAnsi="Calibri" w:asciiTheme="minorHAnsi" w:cstheme="minorHAnsi" w:hAnsiTheme="minorHAnsi"/>
                <w:sz w:val="20"/>
                <w:szCs w:val="20"/>
              </w:rPr>
              <w:t xml:space="preserve"> amount of cash misappropriation on 11 no.s of borrowers against </w:t>
            </w:r>
            <w:r>
              <w:rPr>
                <w:rFonts w:cs="Calibri" w:ascii="Calibri" w:hAnsi="Calibri" w:asciiTheme="minorHAnsi" w:cstheme="minorHAnsi" w:hAnsiTheme="minorHAnsi"/>
                <w:color w:val="000000"/>
                <w:sz w:val="20"/>
                <w:szCs w:val="20"/>
                <w:lang w:eastAsia="en-US"/>
              </w:rPr>
              <w:t xml:space="preserve">LO </w:t>
            </w:r>
            <w:r>
              <w:rPr>
                <w:rFonts w:cs="Calibri" w:ascii="Calibri" w:hAnsi="Calibri" w:asciiTheme="minorHAnsi" w:cstheme="minorHAnsi" w:hAnsiTheme="minorHAnsi"/>
                <w:sz w:val="20"/>
                <w:szCs w:val="20"/>
              </w:rPr>
              <w:t>Tarun Jena/</w:t>
            </w:r>
            <w:r>
              <w:rPr>
                <w:rFonts w:cs="Calibri" w:ascii="Calibri" w:hAnsi="Calibri"/>
                <w:color w:val="000000"/>
                <w:sz w:val="22"/>
                <w:szCs w:val="22"/>
              </w:rPr>
              <w:t xml:space="preserve"> </w:t>
            </w:r>
            <w:r>
              <w:rPr>
                <w:rFonts w:cs="Calibri" w:ascii="Calibri" w:hAnsi="Calibri" w:asciiTheme="minorHAnsi" w:cstheme="minorHAnsi" w:hAnsiTheme="minorHAnsi"/>
                <w:sz w:val="20"/>
                <w:szCs w:val="20"/>
              </w:rPr>
              <w:t>SF0084973.</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 xml:space="preserve"> </w:t>
            </w:r>
          </w:p>
        </w:tc>
      </w:tr>
      <w:tr>
        <w:trPr>
          <w:trHeight w:val="1367"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Investigation Approach:</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 xml:space="preserve">The Audit team visited all Borrowers, those handled by </w:t>
            </w:r>
            <w:r>
              <w:rPr>
                <w:rFonts w:cs="Calibri" w:ascii="Calibri" w:hAnsi="Calibri" w:asciiTheme="minorHAnsi" w:cstheme="minorHAnsi" w:hAnsiTheme="minorHAnsi"/>
                <w:sz w:val="20"/>
                <w:szCs w:val="20"/>
              </w:rPr>
              <w:t>Tarun Jena</w:t>
            </w:r>
            <w:r>
              <w:rPr>
                <w:rFonts w:cs="Calibri" w:ascii="Calibri" w:hAnsi="Calibri" w:asciiTheme="minorHAnsi" w:cstheme="minorHAnsi" w:hAnsiTheme="minorHAnsi"/>
                <w:color w:val="000000"/>
                <w:sz w:val="20"/>
                <w:szCs w:val="20"/>
                <w:lang w:eastAsia="en-US"/>
              </w:rPr>
              <w:t>, to check the availability of the borrower, and the amount        collected was not accounted for.</w:t>
            </w:r>
          </w:p>
          <w:p>
            <w:pPr>
              <w:pStyle w:val="Normal"/>
              <w:suppressAutoHyphens w:val="false"/>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Modus Operandi:</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LO</w:t>
            </w:r>
            <w:r>
              <w:rPr>
                <w:rFonts w:cs="Calibri" w:ascii="Calibri" w:hAnsi="Calibri" w:asciiTheme="minorHAnsi" w:cstheme="minorHAnsi" w:hAnsiTheme="minorHAnsi"/>
                <w:sz w:val="20"/>
                <w:szCs w:val="20"/>
              </w:rPr>
              <w:t xml:space="preserve"> Tarun Jena</w:t>
            </w:r>
            <w:r>
              <w:rPr>
                <w:rFonts w:cs="Calibri" w:ascii="Calibri" w:hAnsi="Calibri" w:asciiTheme="minorHAnsi" w:cstheme="minorHAnsi" w:hAnsiTheme="minorHAnsi"/>
                <w:color w:val="000000"/>
                <w:sz w:val="20"/>
                <w:szCs w:val="20"/>
                <w:lang w:eastAsia="en-US"/>
              </w:rPr>
              <w:t xml:space="preserve"> employee ID </w:t>
            </w:r>
            <w:r>
              <w:rPr>
                <w:rFonts w:cs="Calibri" w:ascii="Calibri" w:hAnsi="Calibri" w:asciiTheme="minorHAnsi" w:cstheme="minorHAnsi" w:hAnsiTheme="minorHAnsi"/>
                <w:sz w:val="20"/>
                <w:szCs w:val="20"/>
              </w:rPr>
              <w:t>SF0084973.</w:t>
            </w:r>
            <w:r>
              <w:rPr>
                <w:rFonts w:cs="Calibri" w:ascii="Calibri" w:hAnsi="Calibri" w:asciiTheme="minorHAnsi" w:cstheme="minorHAnsi" w:hAnsiTheme="minorHAnsi"/>
                <w:color w:val="000000"/>
                <w:sz w:val="20"/>
                <w:szCs w:val="20"/>
                <w:lang w:eastAsia="en-US"/>
              </w:rPr>
              <w:t xml:space="preserve"> made a cash misappropriation with an amount of </w:t>
            </w:r>
            <w:r>
              <w:rPr>
                <w:rFonts w:cs="Calibri" w:ascii="Calibri" w:hAnsi="Calibri" w:asciiTheme="minorHAnsi" w:cstheme="minorHAnsi" w:hAnsiTheme="minorHAnsi"/>
                <w:b/>
                <w:bCs/>
                <w:color w:val="000000"/>
                <w:sz w:val="20"/>
                <w:szCs w:val="20"/>
                <w:u w:val="single"/>
                <w:lang w:eastAsia="en-US"/>
              </w:rPr>
              <w:t>Rs-140220/-</w:t>
            </w:r>
            <w:r>
              <w:rPr>
                <w:rFonts w:cs="Calibri" w:ascii="Calibri" w:hAnsi="Calibri" w:asciiTheme="minorHAnsi" w:cstheme="minorHAnsi" w:hAnsiTheme="minorHAnsi"/>
                <w:color w:val="000000"/>
                <w:sz w:val="20"/>
                <w:szCs w:val="20"/>
                <w:lang w:eastAsia="en-US"/>
              </w:rPr>
              <w:t xml:space="preserve"> for 11 borrowers.</w:t>
            </w:r>
          </w:p>
          <w:p>
            <w:pPr>
              <w:pStyle w:val="Normal"/>
              <w:suppressAutoHyphens w:val="false"/>
              <w:ind w:start="36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sz w:val="20"/>
                <w:szCs w:val="20"/>
                <w:lang w:eastAsia="en-US"/>
              </w:rPr>
              <w:t xml:space="preserve">• </w:t>
            </w:r>
            <w:r>
              <w:rPr>
                <w:rFonts w:cs="Calibri" w:ascii="Calibri" w:hAnsi="Calibri" w:asciiTheme="minorHAnsi" w:cstheme="minorHAnsi" w:hAnsiTheme="minorHAnsi"/>
                <w:color w:val="000000"/>
                <w:sz w:val="20"/>
                <w:szCs w:val="20"/>
                <w:lang w:eastAsia="en-US"/>
              </w:rPr>
              <w:t>The internal audit team investigated by visited all 301 borrowers handed by LO.</w:t>
              <w:br/>
              <w:t xml:space="preserve">• Post Verification, it was observed that a total of 301 no’s Borrowers visited, out of that 109 nos of borrowers were present &amp; 192 no’s borrowers were “Not available at home” at the time of verification. Observed fraud for 11 nos borrwers of </w:t>
            </w:r>
            <w:r>
              <w:rPr>
                <w:rFonts w:cs="Calibri" w:ascii="Calibri" w:hAnsi="Calibri" w:asciiTheme="minorHAnsi" w:cstheme="minorHAnsi" w:hAnsiTheme="minorHAnsi"/>
                <w:b/>
                <w:bCs/>
                <w:color w:val="000000"/>
                <w:sz w:val="20"/>
                <w:szCs w:val="20"/>
                <w:u w:val="single"/>
                <w:lang w:eastAsia="en-US"/>
              </w:rPr>
              <w:t>Rs 140220/-</w:t>
            </w:r>
            <w:r>
              <w:rPr>
                <w:rFonts w:cs="Calibri" w:ascii="Calibri" w:hAnsi="Calibri" w:asciiTheme="minorHAnsi" w:cstheme="minorHAnsi" w:hAnsiTheme="minorHAnsi"/>
                <w:color w:val="000000"/>
                <w:sz w:val="20"/>
                <w:szCs w:val="20"/>
                <w:lang w:eastAsia="en-US"/>
              </w:rPr>
              <w:t>.  Rs-0</w:t>
            </w:r>
            <w:r>
              <w:rPr>
                <w:rFonts w:cs="Calibri" w:ascii="Calibri" w:hAnsi="Calibri" w:asciiTheme="minorHAnsi" w:cstheme="minorHAnsi" w:hAnsiTheme="minorHAnsi"/>
                <w:b/>
                <w:bCs/>
                <w:color w:val="000000"/>
                <w:sz w:val="20"/>
                <w:szCs w:val="20"/>
              </w:rPr>
              <w:t>/-</w:t>
            </w:r>
            <w:r>
              <w:rPr>
                <w:rFonts w:cs="Calibri" w:ascii="Calibri" w:hAnsi="Calibri" w:asciiTheme="minorHAnsi" w:cstheme="minorHAnsi" w:hAnsiTheme="minorHAnsi"/>
                <w:color w:val="000000"/>
                <w:sz w:val="20"/>
                <w:szCs w:val="20"/>
              </w:rPr>
              <w:t xml:space="preserve"> Recovered and Accounted in FIMO. So Net Fraud Amount Rs-</w:t>
            </w:r>
            <w:r>
              <w:rPr>
                <w:rFonts w:cs="Calibri" w:ascii="Calibri" w:hAnsi="Calibri" w:asciiTheme="minorHAnsi" w:cstheme="minorHAnsi" w:hAnsiTheme="minorHAnsi"/>
                <w:b/>
                <w:bCs/>
                <w:color w:val="000000"/>
                <w:sz w:val="20"/>
                <w:szCs w:val="20"/>
                <w:u w:val="single"/>
              </w:rPr>
              <w:t>140220</w:t>
            </w:r>
            <w:r>
              <w:rPr>
                <w:rFonts w:cs="Calibri" w:ascii="Calibri" w:hAnsi="Calibri" w:asciiTheme="minorHAnsi" w:cstheme="minorHAnsi" w:hAnsiTheme="minorHAnsi"/>
                <w:b/>
                <w:bCs/>
                <w:color w:val="000000"/>
                <w:sz w:val="20"/>
                <w:szCs w:val="20"/>
              </w:rPr>
              <w:t>/-.</w:t>
            </w:r>
          </w:p>
          <w:p>
            <w:pPr>
              <w:pStyle w:val="Normal"/>
              <w:suppressAutoHyphens w:val="false"/>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Categories of Fraud Details: -</w:t>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tbl>
            <w:tblPr>
              <w:tblStyle w:val="TableGrid"/>
              <w:tblpPr w:vertAnchor="page" w:horzAnchor="margin" w:leftFromText="180" w:rightFromText="180" w:tblpX="5" w:tblpY="2731"/>
              <w:tblOverlap w:val="never"/>
              <w:tblW w:w="10649"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702"/>
              <w:gridCol w:w="3123"/>
              <w:gridCol w:w="1513"/>
              <w:gridCol w:w="1502"/>
              <w:gridCol w:w="1904"/>
              <w:gridCol w:w="1905"/>
            </w:tblGrid>
            <w:tr>
              <w:trPr>
                <w:trHeight w:val="233" w:hRule="atLeast"/>
              </w:trPr>
              <w:tc>
                <w:tcPr>
                  <w:tcW w:w="7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Sl. No</w:t>
                  </w:r>
                </w:p>
              </w:tc>
              <w:tc>
                <w:tcPr>
                  <w:tcW w:w="312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Type of Fraud</w:t>
                  </w:r>
                </w:p>
              </w:tc>
              <w:tc>
                <w:tcPr>
                  <w:tcW w:w="151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Affected Borrowers</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Fraud Amount</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Recovery Amount</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Net Fraud Amount</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Collection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11</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140220</w:t>
                  </w:r>
                </w:p>
              </w:tc>
              <w:tc>
                <w:tcPr>
                  <w:tcW w:w="1904" w:type="dxa"/>
                  <w:tcBorders/>
                </w:tcPr>
                <w:p>
                  <w:pPr>
                    <w:pStyle w:val="Normal"/>
                    <w:widowControl/>
                    <w:suppressAutoHyphens w:val="false"/>
                    <w:spacing w:before="0" w:after="0"/>
                    <w:jc w:val="star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 xml:space="preserve">              </w:t>
                  </w:r>
                  <w:r>
                    <w:rPr>
                      <w:rFonts w:eastAsia="Times New Roman" w:cs="Calibri" w:ascii="Calibri" w:hAnsi="Calibri" w:asciiTheme="minorHAnsi" w:cstheme="minorHAnsi" w:hAnsiTheme="minorHAnsi"/>
                      <w:color w:val="000000"/>
                      <w:kern w:val="0"/>
                      <w:sz w:val="20"/>
                      <w:szCs w:val="20"/>
                      <w:lang w:val="en-US" w:bidi="ar-SA"/>
                    </w:rPr>
                    <w:t>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140220</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2</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Advance Collection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n-US" w:bidi="ar-SA"/>
                    </w:rPr>
                  </w:r>
                </w:p>
              </w:tc>
              <w:tc>
                <w:tcPr>
                  <w:tcW w:w="1502" w:type="dxa"/>
                  <w:tcBorders/>
                  <w:vAlign w:val="center"/>
                </w:tcPr>
                <w:p>
                  <w:pPr>
                    <w:pStyle w:val="Normal"/>
                    <w:widowControl/>
                    <w:suppressAutoHyphens w:val="false"/>
                    <w:spacing w:before="0" w:after="0"/>
                    <w:jc w:val="star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 xml:space="preserve">          </w:t>
                  </w:r>
                  <w:r>
                    <w:rPr>
                      <w:rFonts w:eastAsia="Times New Roman" w:cs="Calibri" w:ascii="Calibri" w:hAnsi="Calibri" w:asciiTheme="minorHAnsi" w:cstheme="minorHAnsi" w:hAnsiTheme="minorHAnsi"/>
                      <w:kern w:val="0"/>
                      <w:sz w:val="20"/>
                      <w:szCs w:val="20"/>
                      <w:lang w:val="en-US" w:bidi="ar-SA"/>
                    </w:rPr>
                    <w:t>0</w:t>
                  </w:r>
                </w:p>
              </w:tc>
              <w:tc>
                <w:tcPr>
                  <w:tcW w:w="1904" w:type="dxa"/>
                  <w:tcBorders/>
                </w:tcPr>
                <w:p>
                  <w:pPr>
                    <w:pStyle w:val="Normal"/>
                    <w:widowControl/>
                    <w:suppressAutoHyphens w:val="false"/>
                    <w:spacing w:before="0" w:after="0"/>
                    <w:jc w:val="star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 xml:space="preserve">                </w:t>
                  </w:r>
                  <w:r>
                    <w:rPr>
                      <w:rFonts w:eastAsia="Times New Roman" w:cs="Calibri" w:ascii="Calibri" w:hAnsi="Calibri" w:asciiTheme="minorHAnsi" w:cstheme="minorHAnsi" w:hAnsiTheme="minorHAnsi"/>
                      <w:color w:val="000000"/>
                      <w:kern w:val="0"/>
                      <w:sz w:val="20"/>
                      <w:szCs w:val="20"/>
                      <w:lang w:val="en-US" w:bidi="ar-SA"/>
                    </w:rPr>
                    <w:t>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0</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3</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Pre-Closure Amount</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n-US" w:bidi="ar-SA"/>
                    </w:rPr>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0</w:t>
                  </w:r>
                </w:p>
              </w:tc>
              <w:tc>
                <w:tcPr>
                  <w:tcW w:w="1904" w:type="dxa"/>
                  <w:tcBorders/>
                </w:tcPr>
                <w:p>
                  <w:pPr>
                    <w:pStyle w:val="Normal"/>
                    <w:widowControl/>
                    <w:suppressAutoHyphens w:val="false"/>
                    <w:spacing w:before="0" w:after="0"/>
                    <w:jc w:val="star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 xml:space="preserve">              </w:t>
                  </w:r>
                  <w:r>
                    <w:rPr>
                      <w:rFonts w:eastAsia="Times New Roman" w:cs="Calibri" w:ascii="Calibri" w:hAnsi="Calibri" w:asciiTheme="minorHAnsi" w:cstheme="minorHAnsi" w:hAnsiTheme="minorHAnsi"/>
                      <w:color w:val="000000"/>
                      <w:kern w:val="0"/>
                      <w:sz w:val="20"/>
                      <w:szCs w:val="20"/>
                      <w:lang w:val="en-US" w:bidi="ar-SA"/>
                    </w:rPr>
                    <w:t>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0</w:t>
                  </w:r>
                </w:p>
              </w:tc>
            </w:tr>
            <w:tr>
              <w:trPr>
                <w:trHeight w:val="233" w:hRule="atLeast"/>
              </w:trPr>
              <w:tc>
                <w:tcPr>
                  <w:tcW w:w="3825" w:type="dxa"/>
                  <w:gridSpan w:val="2"/>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 xml:space="preserve">        </w:t>
                  </w:r>
                  <w:r>
                    <w:rPr>
                      <w:rFonts w:eastAsia="Times New Roman" w:cs="Calibri" w:ascii="Calibri" w:hAnsi="Calibri" w:asciiTheme="minorHAnsi" w:cstheme="minorHAnsi" w:hAnsiTheme="minorHAnsi"/>
                      <w:b/>
                      <w:bCs/>
                      <w:kern w:val="0"/>
                      <w:sz w:val="20"/>
                      <w:szCs w:val="20"/>
                      <w:lang w:val="en-US" w:bidi="ar-SA"/>
                    </w:rPr>
                    <w:t>Total</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11</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140220</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140220</w:t>
                  </w:r>
                </w:p>
              </w:tc>
            </w:tr>
          </w:tbl>
          <w:p>
            <w:pPr>
              <w:pStyle w:val="Normal"/>
              <w:jc w:val="both"/>
              <w:rPr>
                <w:rFonts w:cs="Calibri" w:cstheme="minorHAnsi"/>
                <w:b/>
                <w:sz w:val="20"/>
                <w:szCs w:val="20"/>
              </w:rPr>
            </w:pPr>
            <w:r/>
            <w:r>
              <w:rPr>
                <w:rFonts w:cs="Calibri" w:cstheme="minorHAnsi"/>
                <w:b/>
                <w:sz w:val="20"/>
                <w:szCs w:val="20"/>
              </w:rPr>
              <w:t>Details of Process &amp; Policy Lapses:</w:t>
            </w:r>
          </w:p>
          <w:p>
            <w:pPr>
              <w:pStyle w:val="ListParagraph"/>
              <w:widowControl w:val="false"/>
              <w:numPr>
                <w:ilvl w:val="0"/>
                <w:numId w:val="1"/>
              </w:numPr>
              <w:rPr>
                <w:rFonts w:cs="Calibri" w:cstheme="minorHAnsi"/>
                <w:sz w:val="20"/>
                <w:szCs w:val="20"/>
              </w:rPr>
            </w:pPr>
            <w:r>
              <w:rPr>
                <w:rFonts w:cs="Calibri" w:cstheme="minorHAnsi"/>
                <w:sz w:val="20"/>
                <w:szCs w:val="20"/>
              </w:rPr>
              <w:t>Monitoring failure.</w:t>
            </w:r>
          </w:p>
          <w:p>
            <w:pPr>
              <w:pStyle w:val="ListParagraph"/>
              <w:widowControl w:val="false"/>
              <w:numPr>
                <w:ilvl w:val="0"/>
                <w:numId w:val="1"/>
              </w:numPr>
              <w:rPr>
                <w:rFonts w:cs="Calibri" w:cstheme="minorHAnsi"/>
                <w:sz w:val="20"/>
                <w:szCs w:val="20"/>
              </w:rPr>
            </w:pPr>
            <w:r>
              <w:rPr>
                <w:rFonts w:cs="Calibri" w:cstheme="minorHAnsi"/>
                <w:sz w:val="20"/>
                <w:szCs w:val="20"/>
              </w:rPr>
              <w:t>Violation of collection process.</w:t>
            </w:r>
          </w:p>
          <w:p>
            <w:pPr>
              <w:pStyle w:val="ListParagraph"/>
              <w:numPr>
                <w:ilvl w:val="0"/>
                <w:numId w:val="1"/>
              </w:numPr>
              <w:jc w:val="both"/>
              <w:rPr>
                <w:rFonts w:cs="Calibri" w:cstheme="minorHAnsi"/>
                <w:b/>
                <w:bCs/>
                <w:color w:val="000000"/>
                <w:sz w:val="20"/>
                <w:szCs w:val="20"/>
              </w:rPr>
            </w:pPr>
            <w:r>
              <w:rPr>
                <w:rFonts w:cs="Calibri" w:cstheme="minorHAnsi"/>
                <w:sz w:val="20"/>
                <w:szCs w:val="20"/>
              </w:rPr>
              <w:t>Proper follow up not done for standard pending customer.</w:t>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t>Details of the Enclosed Annexures, Documents &amp; Statements from staff/customers if any:</w:t>
            </w:r>
          </w:p>
          <w:p>
            <w:pPr>
              <w:pStyle w:val="Normal"/>
              <w:rPr>
                <w:rFonts w:cs="Calibri" w:cstheme="minorHAnsi"/>
                <w:bCs/>
                <w:sz w:val="20"/>
                <w:szCs w:val="20"/>
              </w:rPr>
            </w:pPr>
            <w:r>
              <w:rPr>
                <w:rFonts w:cs="Calibri" w:cstheme="minorHAnsi"/>
                <w:bCs/>
                <w:sz w:val="20"/>
                <w:szCs w:val="20"/>
              </w:rPr>
              <w:t>1. Borrower Sub-ledger.</w:t>
            </w:r>
          </w:p>
          <w:p>
            <w:pPr>
              <w:pStyle w:val="Normal"/>
              <w:jc w:val="both"/>
              <w:rPr>
                <w:rFonts w:cs="Calibri" w:cstheme="minorHAnsi"/>
                <w:bCs/>
                <w:sz w:val="20"/>
                <w:szCs w:val="20"/>
              </w:rPr>
            </w:pPr>
            <w:r>
              <w:rPr>
                <w:rFonts w:cs="Calibri" w:cstheme="minorHAnsi"/>
                <w:bCs/>
                <w:sz w:val="20"/>
                <w:szCs w:val="20"/>
              </w:rPr>
              <w:t>2. Digital Payment</w:t>
            </w:r>
          </w:p>
          <w:p>
            <w:pPr>
              <w:pStyle w:val="Normal"/>
              <w:jc w:val="both"/>
              <w:rPr>
                <w:rFonts w:cs="Calibri" w:cstheme="minorHAnsi"/>
                <w:bCs/>
                <w:sz w:val="20"/>
                <w:szCs w:val="20"/>
              </w:rPr>
            </w:pPr>
            <w:r>
              <w:rPr>
                <w:rFonts w:cs="Calibri" w:cstheme="minorHAnsi"/>
                <w:bCs/>
                <w:sz w:val="20"/>
                <w:szCs w:val="20"/>
              </w:rPr>
              <w:t>3. Loan Card</w:t>
            </w:r>
          </w:p>
          <w:p>
            <w:pPr>
              <w:pStyle w:val="Normal"/>
              <w:suppressAutoHyphens w:val="false"/>
              <w:rPr>
                <w:rFonts w:ascii="Calibri" w:hAnsi="Calibri" w:cs="Calibri" w:asciiTheme="minorHAnsi" w:cstheme="minorHAnsi" w:hAnsiTheme="minorHAnsi"/>
                <w:b/>
                <w:bCs/>
                <w:sz w:val="20"/>
                <w:szCs w:val="20"/>
              </w:rPr>
            </w:pPr>
            <w:r>
              <w:rPr>
                <w:rFonts w:cs="Calibri" w:cstheme="minorHAnsi"/>
                <w:bCs/>
                <w:sz w:val="20"/>
                <w:szCs w:val="20"/>
              </w:rPr>
              <w:t>4. Borrower written statement</w:t>
            </w:r>
          </w:p>
        </w:tc>
      </w:tr>
      <w:tr>
        <w:trPr>
          <w:trHeight w:val="154"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pPr w:vertAnchor="text" w:horzAnchor="page" w:leftFromText="180" w:rightFromText="180" w:tblpX="779" w:tblpY="-58"/>
        <w:tblW w:w="1091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917"/>
        <w:gridCol w:w="4905"/>
        <w:gridCol w:w="5092"/>
      </w:tblGrid>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Sl. NO.</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Checklist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Particulars</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Who exposed the event: Name/ID/Designation/Department/Centre to be mentioned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Web"/>
              <w:shd w:val="clear" w:color="auto" w:fill="FFFFFF"/>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lang w:val="en-IN"/>
              </w:rPr>
              <w:t>Santanu Mahananda/</w:t>
            </w:r>
            <w:r>
              <w:rPr>
                <w:rFonts w:cs="Calibri" w:ascii="Calibri" w:hAnsi="Calibri" w:asciiTheme="minorHAnsi" w:cstheme="minorHAnsi" w:hAnsiTheme="minorHAnsi"/>
                <w:sz w:val="20"/>
                <w:szCs w:val="20"/>
              </w:rPr>
              <w:t>SF0075355 /IA/</w:t>
            </w:r>
            <w:r>
              <w:rPr/>
              <w:t xml:space="preserve"> </w:t>
            </w:r>
            <w:r>
              <w:rPr>
                <w:rFonts w:cs="Calibri" w:ascii="Calibri" w:hAnsi="Calibri" w:asciiTheme="minorHAnsi" w:cstheme="minorHAnsi" w:hAnsiTheme="minorHAnsi"/>
                <w:sz w:val="20"/>
                <w:szCs w:val="20"/>
              </w:rPr>
              <w:t>Internal Audit /327972</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Date of event exposed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vertAlign w:val="superscript"/>
              </w:rPr>
            </w:pPr>
            <w:r>
              <w:rPr>
                <w:rFonts w:cs="Calibri" w:ascii="Calibri" w:hAnsi="Calibri" w:asciiTheme="minorHAnsi" w:cstheme="minorHAnsi" w:hAnsiTheme="minorHAnsi"/>
                <w:sz w:val="20"/>
                <w:szCs w:val="20"/>
              </w:rPr>
              <w:t>12 Oct 2025</w:t>
            </w:r>
          </w:p>
        </w:tc>
      </w:tr>
      <w:tr>
        <w:trPr>
          <w:trHeight w:val="286"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Name/ID/Designation of the Fraudulent Staff</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Tarun Jena/SF0084973</w:t>
            </w:r>
            <w:r>
              <w:rPr>
                <w:rFonts w:cs="Calibri" w:ascii="Calibri" w:hAnsi="Calibri" w:asciiTheme="minorHAnsi" w:cstheme="minorHAnsi" w:hAnsiTheme="minorHAnsi"/>
                <w:color w:val="000000"/>
                <w:sz w:val="20"/>
                <w:szCs w:val="20"/>
                <w:lang w:eastAsia="en-US"/>
              </w:rPr>
              <w:t>/LO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4</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Whether it is in the notice of BM/BQM/CM/AVP/VP/SVP &amp; HR (Yes/No)</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5</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mention the Action initiated by BM/BQM/CM/AVP/VP/SVP</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6</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thefts/robberies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7</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staff frauds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35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8</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Is there any disciplinary action taken by HR in his/her past tenure?</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31"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9</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Whether an internal audit was conducted at the branch during the occurrence of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whether internal audit has detected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No, why the fraud was not detected/informed during such an audit?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Is there any investigation conducted &amp; reported after detection by other departments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Yes</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13</w:t>
            </w:r>
          </w:p>
        </w:tc>
        <w:tc>
          <w:tcPr>
            <w:tcW w:w="4905" w:type="dxa"/>
            <w:tcBorders>
              <w:top w:val="single" w:sz="4" w:space="0" w:color="000000"/>
              <w:start w:val="single" w:sz="4" w:space="0" w:color="000000"/>
              <w:bottom w:val="single" w:sz="4" w:space="0" w:color="000000"/>
            </w:tcBorders>
            <w:vAlign w:val="center"/>
          </w:tcPr>
          <w:p>
            <w:pPr>
              <w:pStyle w:val="Normal"/>
              <w:spacing w:lineRule="auto" w:line="276"/>
              <w:rPr>
                <w:rFonts w:ascii="Calibri" w:hAnsi="Calibri" w:eastAsia="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yes, mention the departments that conducted and reported.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Internal Audit</w:t>
            </w:r>
          </w:p>
        </w:tc>
      </w:tr>
    </w:tbl>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tbl>
      <w:tblPr>
        <w:tblW w:w="10838" w:type="dxa"/>
        <w:jc w:val="start"/>
        <w:tblInd w:w="-1062" w:type="dxa"/>
        <w:tblLayout w:type="fixed"/>
        <w:tblCellMar>
          <w:top w:w="0" w:type="dxa"/>
          <w:start w:w="108" w:type="dxa"/>
          <w:bottom w:w="0" w:type="dxa"/>
          <w:end w:w="108" w:type="dxa"/>
        </w:tblCellMar>
        <w:tblLook w:firstRow="0" w:noVBand="0" w:lastRow="0" w:firstColumn="0" w:lastColumn="0" w:noHBand="0" w:val="0000"/>
      </w:tblPr>
      <w:tblGrid>
        <w:gridCol w:w="885"/>
        <w:gridCol w:w="1448"/>
        <w:gridCol w:w="1418"/>
        <w:gridCol w:w="1984"/>
        <w:gridCol w:w="1700"/>
        <w:gridCol w:w="1702"/>
        <w:gridCol w:w="1701"/>
      </w:tblGrid>
      <w:tr>
        <w:trPr>
          <w:trHeight w:val="171" w:hRule="atLeast"/>
        </w:trPr>
        <w:tc>
          <w:tcPr>
            <w:tcW w:w="1083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ind w:start="-1080"/>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Details of involved staff</w:t>
            </w:r>
          </w:p>
        </w:tc>
      </w:tr>
      <w:tr>
        <w:trPr>
          <w:trHeight w:val="242"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Sr. No.</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Name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Employee ID</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Designation</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SSFL</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Branch</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Exit</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r>
      <w:tr>
        <w:trPr>
          <w:trHeight w:val="261"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Tarun Jena</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SF0084973</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LO</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13-05-2024</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13-05-2024</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11-09-2025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ListParagraph"/>
        <w:ind w:start="-1260" w:end="209"/>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Note:</w:t>
      </w:r>
      <w:r>
        <w:rPr>
          <w:rFonts w:cs="Calibri" w:ascii="Calibri" w:hAnsi="Calibri" w:asciiTheme="minorHAnsi" w:cstheme="minorHAnsi" w:hAnsiTheme="minorHAnsi"/>
          <w:sz w:val="20"/>
          <w:szCs w:val="20"/>
        </w:rPr>
        <w:t xml:space="preserve"> The information and observations given in the report are based on records and documents produced before us for verification. We have relied on certain explanations and representations provided by the SSFL staff &amp; customers wherever applicable.</w:t>
      </w:r>
    </w:p>
    <w:p>
      <w:pPr>
        <w:pStyle w:val="Normal"/>
        <w:ind w:start="-1260"/>
        <w:rPr>
          <w:rFonts w:ascii="Calibri" w:hAnsi="Calibri" w:cs="Calibri" w:asciiTheme="minorHAnsi" w:cstheme="minorHAnsi" w:hAnsiTheme="minorHAnsi"/>
          <w:b/>
          <w:sz w:val="20"/>
          <w:szCs w:val="20"/>
        </w:rPr>
      </w:pPr>
      <w:r>
        <w:rPr>
          <w:rFonts w:cs="Calibri" w:cstheme="minorHAnsi" w:ascii="Calibri" w:hAnsi="Calibri"/>
          <w:b/>
          <w:sz w:val="20"/>
          <w:szCs w:val="20"/>
        </w:rPr>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Report prepared by</w:t>
        <w:tab/>
        <w:t xml:space="preserve">: </w:t>
      </w:r>
      <w:r>
        <w:rPr>
          <w:rFonts w:cs="Calibri" w:ascii="Calibri" w:hAnsi="Calibri" w:asciiTheme="minorHAnsi" w:cstheme="minorHAnsi" w:hAnsiTheme="minorHAnsi"/>
          <w:b/>
          <w:sz w:val="20"/>
          <w:szCs w:val="20"/>
        </w:rPr>
        <w:t>FRM Team</w:t>
      </w:r>
      <w:r>
        <w:rPr>
          <w:rFonts w:cs="Calibri" w:ascii="Calibri" w:hAnsi="Calibri" w:asciiTheme="minorHAnsi" w:cstheme="minorHAnsi" w:hAnsiTheme="minorHAnsi"/>
          <w:b/>
          <w:sz w:val="20"/>
          <w:szCs w:val="20"/>
        </w:rPr>
        <w:t>.</w:t>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w:t>
        <w:tab/>
        <w:tab/>
        <w:tab/>
        <w:t xml:space="preserve">: </w:t>
      </w:r>
      <w:r>
        <w:rPr>
          <w:rFonts w:cs="Calibri" w:ascii="Calibri" w:hAnsi="Calibri" w:asciiTheme="minorHAnsi" w:cstheme="minorHAnsi" w:hAnsiTheme="minorHAnsi"/>
          <w:b/>
          <w:sz w:val="20"/>
          <w:szCs w:val="20"/>
        </w:rPr>
        <w:t>11</w:t>
      </w:r>
      <w:r>
        <w:rPr>
          <w:rFonts w:cs="Calibri" w:ascii="Calibri" w:hAnsi="Calibri" w:asciiTheme="minorHAnsi" w:cstheme="minorHAnsi" w:hAnsiTheme="minorHAnsi"/>
          <w:b/>
          <w:sz w:val="20"/>
          <w:szCs w:val="20"/>
          <w:vertAlign w:val="superscript"/>
        </w:rPr>
        <w:t>th</w:t>
      </w:r>
      <w:r>
        <w:rPr>
          <w:rFonts w:cs="Calibri" w:ascii="Calibri" w:hAnsi="Calibri" w:asciiTheme="minorHAnsi" w:cstheme="minorHAnsi" w:hAnsiTheme="minorHAnsi"/>
          <w:b/>
          <w:sz w:val="20"/>
          <w:szCs w:val="20"/>
        </w:rPr>
        <w:t xml:space="preserve"> </w:t>
      </w:r>
      <w:r>
        <w:rPr>
          <w:rFonts w:cs="Calibri" w:ascii="Calibri" w:hAnsi="Calibri" w:asciiTheme="minorHAnsi" w:cstheme="minorHAnsi" w:hAnsiTheme="minorHAnsi"/>
          <w:b/>
          <w:sz w:val="20"/>
          <w:szCs w:val="20"/>
        </w:rPr>
        <w:t>Nov</w:t>
      </w:r>
      <w:r>
        <w:rPr>
          <w:rFonts w:cs="Calibri" w:ascii="Calibri" w:hAnsi="Calibri" w:asciiTheme="minorHAnsi" w:cstheme="minorHAnsi" w:hAnsiTheme="minorHAnsi"/>
          <w:b/>
          <w:sz w:val="20"/>
          <w:szCs w:val="20"/>
        </w:rPr>
        <w:t xml:space="preserve"> 2025</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450" w:gutter="0" w:header="270" w:top="1440" w:footer="343"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Aptos">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5"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6"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3">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1"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5" wp14:anchorId="25A64693">
              <wp:simplePos x="0" y="0"/>
              <wp:positionH relativeFrom="column">
                <wp:posOffset>-829310</wp:posOffset>
              </wp:positionH>
              <wp:positionV relativeFrom="paragraph">
                <wp:posOffset>302260</wp:posOffset>
              </wp:positionV>
              <wp:extent cx="7154545" cy="635"/>
              <wp:effectExtent l="6350" t="6350" r="6350" b="6350"/>
              <wp:wrapNone/>
              <wp:docPr id="2"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3">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3"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5" wp14:anchorId="25A64693">
              <wp:simplePos x="0" y="0"/>
              <wp:positionH relativeFrom="column">
                <wp:posOffset>-829310</wp:posOffset>
              </wp:positionH>
              <wp:positionV relativeFrom="paragraph">
                <wp:posOffset>302260</wp:posOffset>
              </wp:positionV>
              <wp:extent cx="7154545" cy="635"/>
              <wp:effectExtent l="6350" t="6350" r="6350" b="6350"/>
              <wp:wrapNone/>
              <wp:docPr id="4"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5c47"/>
    <w:pPr>
      <w:widowControl/>
      <w:suppressAutoHyphens w:val="true"/>
      <w:bidi w:val="0"/>
      <w:spacing w:before="0" w:after="0"/>
      <w:jc w:val="start"/>
    </w:pPr>
    <w:rPr>
      <w:rFonts w:ascii="Times New Roman" w:hAnsi="Times New Roman" w:eastAsia="Times New Roman" w:cs="Times New Roman"/>
      <w:color w:val="auto"/>
      <w:kern w:val="0"/>
      <w:sz w:val="24"/>
      <w:szCs w:val="24"/>
      <w:lang w:eastAsia="ar-SA" w:val="en-US" w:bidi="ar-SA"/>
    </w:rPr>
  </w:style>
  <w:style w:type="character" w:styleId="DefaultParagraphFont" w:default="1">
    <w:name w:val="Default Paragraph Font"/>
    <w:uiPriority w:val="1"/>
    <w:semiHidden/>
    <w:unhideWhenUsed/>
    <w:qFormat/>
    <w:rPr/>
  </w:style>
  <w:style w:type="character" w:styleId="WW8Num3z0" w:customStyle="1">
    <w:name w:val="WW8Num3z0"/>
    <w:qFormat/>
    <w:rsid w:val="001a5c47"/>
    <w:rPr>
      <w:rFonts w:ascii="Wingdings" w:hAnsi="Wingdings"/>
    </w:rPr>
  </w:style>
  <w:style w:type="character" w:styleId="WW8Num3z1" w:customStyle="1">
    <w:name w:val="WW8Num3z1"/>
    <w:qFormat/>
    <w:rsid w:val="001a5c47"/>
    <w:rPr>
      <w:rFonts w:ascii="Courier New" w:hAnsi="Courier New" w:cs="Courier New"/>
    </w:rPr>
  </w:style>
  <w:style w:type="character" w:styleId="WW8Num3z3" w:customStyle="1">
    <w:name w:val="WW8Num3z3"/>
    <w:qFormat/>
    <w:rsid w:val="001a5c47"/>
    <w:rPr>
      <w:rFonts w:ascii="Symbol" w:hAnsi="Symbol"/>
    </w:rPr>
  </w:style>
  <w:style w:type="character" w:styleId="DefaultParagraphFont1" w:customStyle="1">
    <w:name w:val="Default Paragraph Font1"/>
    <w:qFormat/>
    <w:rsid w:val="001a5c47"/>
    <w:rPr/>
  </w:style>
  <w:style w:type="character" w:styleId="Hyperlink">
    <w:name w:val="Hyperlink"/>
    <w:uiPriority w:val="99"/>
    <w:rsid w:val="001a5c47"/>
    <w:rPr>
      <w:color w:val="0000FF"/>
      <w:u w:val="single"/>
    </w:rPr>
  </w:style>
  <w:style w:type="character" w:styleId="FootnoteTextChar" w:customStyle="1">
    <w:name w:val="Footnote Text Char"/>
    <w:link w:val="FootnoteText"/>
    <w:qFormat/>
    <w:rsid w:val="0003613e"/>
    <w:rPr>
      <w:lang w:eastAsia="ar-SA"/>
    </w:rPr>
  </w:style>
  <w:style w:type="character" w:styleId="FootnoteCharacters">
    <w:name w:val="Footnote Characters"/>
    <w:qFormat/>
    <w:rsid w:val="0003613e"/>
    <w:rPr>
      <w:vertAlign w:val="superscript"/>
    </w:rPr>
  </w:style>
  <w:style w:type="character" w:styleId="FootnoteReference">
    <w:name w:val="footnote reference"/>
    <w:rPr>
      <w:vertAlign w:val="superscript"/>
    </w:rPr>
  </w:style>
  <w:style w:type="character" w:styleId="HeaderChar" w:customStyle="1">
    <w:name w:val="Header Char"/>
    <w:link w:val="Header"/>
    <w:uiPriority w:val="99"/>
    <w:qFormat/>
    <w:rsid w:val="002f39aa"/>
    <w:rPr>
      <w:sz w:val="24"/>
      <w:szCs w:val="24"/>
      <w:lang w:eastAsia="ar-SA"/>
    </w:rPr>
  </w:style>
  <w:style w:type="character" w:styleId="FooterChar" w:customStyle="1">
    <w:name w:val="Footer Char"/>
    <w:link w:val="Footer"/>
    <w:uiPriority w:val="99"/>
    <w:qFormat/>
    <w:rsid w:val="002f39aa"/>
    <w:rPr>
      <w:sz w:val="24"/>
      <w:szCs w:val="24"/>
      <w:lang w:eastAsia="ar-SA"/>
    </w:rPr>
  </w:style>
  <w:style w:type="character" w:styleId="BalloonTextChar" w:customStyle="1">
    <w:name w:val="Balloon Text Char"/>
    <w:link w:val="BalloonText"/>
    <w:qFormat/>
    <w:rsid w:val="00312fa8"/>
    <w:rPr>
      <w:rFonts w:ascii="Tahoma" w:hAnsi="Tahoma" w:cs="Tahoma"/>
      <w:sz w:val="16"/>
      <w:szCs w:val="16"/>
      <w:lang w:eastAsia="ar-SA"/>
    </w:rPr>
  </w:style>
  <w:style w:type="character" w:styleId="PlainTextChar" w:customStyle="1">
    <w:name w:val="Plain Text Char"/>
    <w:basedOn w:val="DefaultParagraphFont"/>
    <w:link w:val="PlainText"/>
    <w:uiPriority w:val="99"/>
    <w:qFormat/>
    <w:rsid w:val="0086475d"/>
    <w:rPr>
      <w:rFonts w:ascii="Calibri" w:hAnsi="Calibri" w:eastAsia="Calibri"/>
      <w:sz w:val="22"/>
      <w:szCs w:val="21"/>
    </w:rPr>
  </w:style>
  <w:style w:type="character" w:styleId="CommentReference">
    <w:name w:val="annotation reference"/>
    <w:basedOn w:val="DefaultParagraphFont"/>
    <w:semiHidden/>
    <w:unhideWhenUsed/>
    <w:qFormat/>
    <w:rsid w:val="00f404a0"/>
    <w:rPr>
      <w:sz w:val="16"/>
      <w:szCs w:val="16"/>
    </w:rPr>
  </w:style>
  <w:style w:type="character" w:styleId="CommentTextChar" w:customStyle="1">
    <w:name w:val="Comment Text Char"/>
    <w:basedOn w:val="DefaultParagraphFont"/>
    <w:link w:val="CommentText"/>
    <w:qFormat/>
    <w:rsid w:val="00f404a0"/>
    <w:rPr>
      <w:lang w:eastAsia="ar-SA"/>
    </w:rPr>
  </w:style>
  <w:style w:type="character" w:styleId="CommentSubjectChar" w:customStyle="1">
    <w:name w:val="Comment Subject Char"/>
    <w:basedOn w:val="CommentTextChar"/>
    <w:link w:val="annotationsubject"/>
    <w:semiHidden/>
    <w:qFormat/>
    <w:rsid w:val="00f404a0"/>
    <w:rPr>
      <w:b/>
      <w:bCs/>
      <w:lang w:eastAsia="ar-SA"/>
    </w:rPr>
  </w:style>
  <w:style w:type="paragraph" w:styleId="Heading" w:customStyle="1">
    <w:name w:val="Heading"/>
    <w:basedOn w:val="Normal"/>
    <w:next w:val="BodyText"/>
    <w:qFormat/>
    <w:rsid w:val="001a5c47"/>
    <w:pPr>
      <w:keepNext w:val="true"/>
      <w:spacing w:before="240" w:after="120"/>
    </w:pPr>
    <w:rPr>
      <w:rFonts w:ascii="Arial" w:hAnsi="Arial" w:eastAsia="Arial Unicode MS" w:cs="Tahoma"/>
      <w:sz w:val="28"/>
      <w:szCs w:val="28"/>
    </w:rPr>
  </w:style>
  <w:style w:type="paragraph" w:styleId="BodyText">
    <w:name w:val="Body Text"/>
    <w:basedOn w:val="Normal"/>
    <w:rsid w:val="001a5c47"/>
    <w:pPr>
      <w:spacing w:before="0" w:after="120"/>
    </w:pPr>
    <w:rPr/>
  </w:style>
  <w:style w:type="paragraph" w:styleId="List">
    <w:name w:val="List"/>
    <w:basedOn w:val="BodyText"/>
    <w:rsid w:val="001a5c47"/>
    <w:pPr/>
    <w:rPr>
      <w:rFonts w:cs="Tahoma"/>
    </w:rPr>
  </w:style>
  <w:style w:type="paragraph" w:styleId="Caption">
    <w:name w:val="caption"/>
    <w:basedOn w:val="Normal"/>
    <w:qFormat/>
    <w:rsid w:val="001a5c47"/>
    <w:pPr>
      <w:suppressLineNumbers/>
      <w:spacing w:before="120" w:after="120"/>
    </w:pPr>
    <w:rPr>
      <w:rFonts w:cs="Tahoma"/>
      <w:i/>
      <w:iCs/>
    </w:rPr>
  </w:style>
  <w:style w:type="paragraph" w:styleId="Index" w:customStyle="1">
    <w:name w:val="Index"/>
    <w:basedOn w:val="Normal"/>
    <w:qFormat/>
    <w:rsid w:val="001a5c47"/>
    <w:pPr>
      <w:suppressLineNumbers/>
    </w:pPr>
    <w:rPr>
      <w:rFonts w:cs="Tahoma"/>
    </w:rPr>
  </w:style>
  <w:style w:type="paragraph" w:styleId="TableContents" w:customStyle="1">
    <w:name w:val="Table Contents"/>
    <w:basedOn w:val="Normal"/>
    <w:qFormat/>
    <w:rsid w:val="001a5c47"/>
    <w:pPr>
      <w:suppressLineNumbers/>
    </w:pPr>
    <w:rPr/>
  </w:style>
  <w:style w:type="paragraph" w:styleId="TableHeading" w:customStyle="1">
    <w:name w:val="Table Heading"/>
    <w:basedOn w:val="TableContents"/>
    <w:qFormat/>
    <w:rsid w:val="001a5c47"/>
    <w:pPr>
      <w:jc w:val="center"/>
    </w:pPr>
    <w:rPr>
      <w:b/>
      <w:bCs/>
    </w:rPr>
  </w:style>
  <w:style w:type="paragraph" w:styleId="FootnoteText">
    <w:name w:val="footnote text"/>
    <w:basedOn w:val="Normal"/>
    <w:link w:val="FootnoteTextChar"/>
    <w:rsid w:val="0003613e"/>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rsid w:val="002f39aa"/>
    <w:pPr>
      <w:tabs>
        <w:tab w:val="clear" w:pos="720"/>
        <w:tab w:val="center" w:pos="4680" w:leader="none"/>
        <w:tab w:val="right" w:pos="9360" w:leader="none"/>
      </w:tabs>
    </w:pPr>
    <w:rPr/>
  </w:style>
  <w:style w:type="paragraph" w:styleId="Footer">
    <w:name w:val="footer"/>
    <w:basedOn w:val="Normal"/>
    <w:link w:val="FooterChar"/>
    <w:uiPriority w:val="99"/>
    <w:rsid w:val="002f39aa"/>
    <w:pPr>
      <w:tabs>
        <w:tab w:val="clear" w:pos="720"/>
        <w:tab w:val="center" w:pos="4680" w:leader="none"/>
        <w:tab w:val="right" w:pos="9360" w:leader="none"/>
      </w:tabs>
    </w:pPr>
    <w:rPr/>
  </w:style>
  <w:style w:type="paragraph" w:styleId="BalloonText">
    <w:name w:val="Balloon Text"/>
    <w:basedOn w:val="Normal"/>
    <w:link w:val="BalloonTextChar"/>
    <w:qFormat/>
    <w:rsid w:val="00312fa8"/>
    <w:pPr/>
    <w:rPr>
      <w:rFonts w:ascii="Tahoma" w:hAnsi="Tahoma"/>
      <w:sz w:val="16"/>
      <w:szCs w:val="16"/>
    </w:rPr>
  </w:style>
  <w:style w:type="paragraph" w:styleId="ListParagraph">
    <w:name w:val="List Paragraph"/>
    <w:basedOn w:val="Normal"/>
    <w:uiPriority w:val="34"/>
    <w:qFormat/>
    <w:rsid w:val="00b60ad5"/>
    <w:pPr>
      <w:suppressAutoHyphens w:val="false"/>
      <w:ind w:start="720"/>
    </w:pPr>
    <w:rPr>
      <w:rFonts w:ascii="Calibri" w:hAnsi="Calibri" w:eastAsia="Calibri" w:cs="Calibri"/>
      <w:sz w:val="22"/>
      <w:szCs w:val="22"/>
      <w:lang w:eastAsia="en-US"/>
    </w:rPr>
  </w:style>
  <w:style w:type="paragraph" w:styleId="PlainText">
    <w:name w:val="Plain Text"/>
    <w:basedOn w:val="Normal"/>
    <w:link w:val="PlainTextChar"/>
    <w:uiPriority w:val="99"/>
    <w:unhideWhenUsed/>
    <w:qFormat/>
    <w:rsid w:val="0086475d"/>
    <w:pPr>
      <w:suppressAutoHyphens w:val="false"/>
    </w:pPr>
    <w:rPr>
      <w:rFonts w:ascii="Calibri" w:hAnsi="Calibri" w:eastAsia="Calibri"/>
      <w:sz w:val="22"/>
      <w:szCs w:val="21"/>
      <w:lang w:eastAsia="en-US"/>
    </w:rPr>
  </w:style>
  <w:style w:type="paragraph" w:styleId="NormalWeb">
    <w:name w:val="Normal (Web)"/>
    <w:basedOn w:val="Normal"/>
    <w:uiPriority w:val="99"/>
    <w:unhideWhenUsed/>
    <w:qFormat/>
    <w:rsid w:val="00f43302"/>
    <w:pPr>
      <w:suppressAutoHyphens w:val="false"/>
    </w:pPr>
    <w:rPr>
      <w:rFonts w:ascii="Aptos" w:hAnsi="Aptos" w:eastAsia="Calibri" w:cs="Aptos" w:eastAsiaTheme="minorHAnsi"/>
      <w:lang w:eastAsia="en-US"/>
    </w:rPr>
  </w:style>
  <w:style w:type="paragraph" w:styleId="CommentText">
    <w:name w:val="annotation text"/>
    <w:basedOn w:val="Normal"/>
    <w:link w:val="CommentTextChar"/>
    <w:unhideWhenUsed/>
    <w:rsid w:val="00f404a0"/>
    <w:pPr/>
    <w:rPr>
      <w:sz w:val="20"/>
      <w:szCs w:val="20"/>
    </w:rPr>
  </w:style>
  <w:style w:type="paragraph" w:styleId="annotationsubject">
    <w:name w:val="annotation subject"/>
    <w:basedOn w:val="CommentText"/>
    <w:next w:val="CommentText"/>
    <w:link w:val="CommentSubjectChar"/>
    <w:semiHidden/>
    <w:unhideWhenUsed/>
    <w:qFormat/>
    <w:rsid w:val="00f404a0"/>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e17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Green">
      <a:dk1>
        <a:srgbClr val="000000"/>
      </a:dk1>
      <a:lt1>
        <a:srgbClr val="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3EEC-07F8-4208-9FFA-3EAA8EFF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2004</TotalTime>
  <Application>LibreOffice/25.8.2.2$Windows_X86_64 LibreOffice_project/d401f2107ccab8f924a8e2df40f573aab7605b6f</Application>
  <AppVersion>15.0000</AppVersion>
  <Pages>2</Pages>
  <Words>728</Words>
  <Characters>4054</Characters>
  <CharactersWithSpaces>4697</CharactersWithSpaces>
  <Paragraphs>157</Paragraphs>
  <Company>sks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2024-05-01T03:51:00Z</dcterms:created>
  <dc:creator>Debasis</dc:creator>
  <dc:description/>
  <dc:language>en-IN</dc:language>
  <cp:lastModifiedBy/>
  <cp:lastPrinted>2015-03-04T17:10:00Z</cp:lastPrinted>
  <dcterms:modified xsi:type="dcterms:W3CDTF">2025-11-11T15:53:16Z</dcterms:modified>
  <cp:revision>766</cp:revision>
  <dc:subject/>
  <dc:title>Check list for the reporting of fraud: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076b1c4de7324b92c673a66157bf5a34048dd2670bc471e0e649e85fbe5afba4</vt:lpwstr>
  </property>
</Properties>
</file>